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3.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1.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7.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Arial"/>
          <w:b/>
          <w:sz w:val="28"/>
          <w:szCs w:val="28"/>
        </w:rPr>
        <w:id w:val="-1541820659"/>
        <w:docPartObj>
          <w:docPartGallery w:val="Cover Pages"/>
          <w:docPartUnique/>
        </w:docPartObj>
      </w:sdtPr>
      <w:sdtContent>
        <w:p w14:paraId="1FEEDD63" w14:textId="631E6D3E" w:rsidR="00D85EB8" w:rsidRDefault="00535302">
          <w:pPr>
            <w:rPr>
              <w:rFonts w:cs="Arial"/>
              <w:b/>
              <w:sz w:val="28"/>
              <w:szCs w:val="28"/>
            </w:rPr>
          </w:pPr>
          <w:r>
            <w:rPr>
              <w:rFonts w:cs="Arial"/>
              <w:b/>
              <w:noProof/>
              <w:sz w:val="28"/>
              <w:szCs w:val="28"/>
              <w:lang w:val="es-CO" w:eastAsia="es-CO"/>
            </w:rPr>
            <w:drawing>
              <wp:anchor distT="0" distB="0" distL="114300" distR="114300" simplePos="0" relativeHeight="251704575" behindDoc="0" locked="0" layoutInCell="1" allowOverlap="1" wp14:anchorId="276F2A6F" wp14:editId="3DBAEC21">
                <wp:simplePos x="0" y="0"/>
                <wp:positionH relativeFrom="page">
                  <wp:posOffset>57676</wp:posOffset>
                </wp:positionH>
                <wp:positionV relativeFrom="paragraph">
                  <wp:posOffset>0</wp:posOffset>
                </wp:positionV>
                <wp:extent cx="7715649" cy="9984599"/>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rtada.jpg"/>
                        <pic:cNvPicPr/>
                      </pic:nvPicPr>
                      <pic:blipFill>
                        <a:blip r:embed="rId8">
                          <a:extLst>
                            <a:ext uri="{28A0092B-C50C-407E-A947-70E740481C1C}">
                              <a14:useLocalDpi xmlns:a14="http://schemas.microsoft.com/office/drawing/2010/main" val="0"/>
                            </a:ext>
                          </a:extLst>
                        </a:blip>
                        <a:stretch>
                          <a:fillRect/>
                        </a:stretch>
                      </pic:blipFill>
                      <pic:spPr>
                        <a:xfrm>
                          <a:off x="0" y="0"/>
                          <a:ext cx="7715649" cy="9984599"/>
                        </a:xfrm>
                        <a:prstGeom prst="rect">
                          <a:avLst/>
                        </a:prstGeom>
                      </pic:spPr>
                    </pic:pic>
                  </a:graphicData>
                </a:graphic>
                <wp14:sizeRelH relativeFrom="page">
                  <wp14:pctWidth>0</wp14:pctWidth>
                </wp14:sizeRelH>
                <wp14:sizeRelV relativeFrom="page">
                  <wp14:pctHeight>0</wp14:pctHeight>
                </wp14:sizeRelV>
              </wp:anchor>
            </w:drawing>
          </w:r>
          <w:r w:rsidR="00D85EB8">
            <w:rPr>
              <w:rFonts w:cs="Arial"/>
              <w:b/>
              <w:sz w:val="28"/>
              <w:szCs w:val="28"/>
            </w:rPr>
            <w:br w:type="page"/>
          </w:r>
        </w:p>
      </w:sdtContent>
    </w:sdt>
    <w:p w14:paraId="5160F89C" w14:textId="77777777" w:rsidR="00E33AEA" w:rsidRPr="008349EC" w:rsidRDefault="00E33AEA" w:rsidP="00E52216">
      <w:pPr>
        <w:pStyle w:val="Sinespaciado"/>
        <w:jc w:val="center"/>
        <w:rPr>
          <w:sz w:val="18"/>
          <w:szCs w:val="18"/>
        </w:rPr>
      </w:pPr>
    </w:p>
    <w:p w14:paraId="4E5AB6E2" w14:textId="5A02D217" w:rsidR="00E33AEA" w:rsidRPr="008349EC" w:rsidRDefault="00E33AEA" w:rsidP="00E52216">
      <w:pPr>
        <w:pStyle w:val="Sinespaciado"/>
        <w:jc w:val="center"/>
        <w:rPr>
          <w:b/>
          <w:sz w:val="18"/>
          <w:szCs w:val="18"/>
        </w:rPr>
      </w:pPr>
      <w:r w:rsidRPr="008349EC">
        <w:rPr>
          <w:b/>
          <w:sz w:val="18"/>
          <w:szCs w:val="18"/>
        </w:rPr>
        <w:t>CONSEJO DIRECTIVO</w:t>
      </w:r>
      <w:r w:rsidRPr="008349EC">
        <w:rPr>
          <w:b/>
          <w:sz w:val="18"/>
          <w:szCs w:val="18"/>
        </w:rPr>
        <w:br/>
        <w:t>AGENCIA NACIONAL DE DEFENSA JURÍDICA DEL ESTADO</w:t>
      </w:r>
    </w:p>
    <w:p w14:paraId="43E59917" w14:textId="77777777" w:rsidR="008349EC" w:rsidRPr="008349EC" w:rsidRDefault="008349EC" w:rsidP="00E52216">
      <w:pPr>
        <w:pStyle w:val="Sinespaciado"/>
        <w:jc w:val="center"/>
        <w:rPr>
          <w:sz w:val="18"/>
          <w:szCs w:val="18"/>
        </w:rPr>
      </w:pPr>
    </w:p>
    <w:p w14:paraId="22E2821F" w14:textId="011DC1D5" w:rsidR="00E33AEA" w:rsidRPr="008349EC" w:rsidRDefault="00E33AEA" w:rsidP="00E52216">
      <w:pPr>
        <w:pStyle w:val="Sinespaciado"/>
        <w:jc w:val="center"/>
        <w:rPr>
          <w:sz w:val="18"/>
          <w:szCs w:val="18"/>
        </w:rPr>
      </w:pPr>
      <w:r w:rsidRPr="008349EC">
        <w:rPr>
          <w:sz w:val="18"/>
          <w:szCs w:val="18"/>
        </w:rPr>
        <w:t xml:space="preserve">ALFONSO GOMEZ MENDEZ </w:t>
      </w:r>
      <w:r w:rsidRPr="008349EC">
        <w:rPr>
          <w:sz w:val="18"/>
          <w:szCs w:val="18"/>
        </w:rPr>
        <w:br/>
        <w:t>Ministro de Justicia y del Derecho – Presidente</w:t>
      </w:r>
    </w:p>
    <w:p w14:paraId="5A2EED72" w14:textId="77777777" w:rsidR="008349EC" w:rsidRPr="008349EC" w:rsidRDefault="008349EC" w:rsidP="00E52216">
      <w:pPr>
        <w:pStyle w:val="Sinespaciado"/>
        <w:jc w:val="center"/>
        <w:rPr>
          <w:sz w:val="18"/>
          <w:szCs w:val="18"/>
        </w:rPr>
      </w:pPr>
    </w:p>
    <w:p w14:paraId="66A694C2" w14:textId="71E14485" w:rsidR="00E33AEA" w:rsidRPr="008349EC" w:rsidRDefault="00E33AEA" w:rsidP="00E52216">
      <w:pPr>
        <w:pStyle w:val="Sinespaciado"/>
        <w:jc w:val="center"/>
        <w:rPr>
          <w:sz w:val="18"/>
          <w:szCs w:val="18"/>
        </w:rPr>
      </w:pPr>
      <w:r w:rsidRPr="008349EC">
        <w:rPr>
          <w:sz w:val="18"/>
          <w:szCs w:val="18"/>
        </w:rPr>
        <w:t xml:space="preserve">MARIA ANGELA HOLGUIN CUELLAR </w:t>
      </w:r>
      <w:r w:rsidRPr="008349EC">
        <w:rPr>
          <w:sz w:val="18"/>
          <w:szCs w:val="18"/>
        </w:rPr>
        <w:br/>
        <w:t>Ministra de Relaciones Exteriores</w:t>
      </w:r>
    </w:p>
    <w:p w14:paraId="555807BA" w14:textId="77777777" w:rsidR="008349EC" w:rsidRPr="008349EC" w:rsidRDefault="008349EC" w:rsidP="00E52216">
      <w:pPr>
        <w:pStyle w:val="Sinespaciado"/>
        <w:jc w:val="center"/>
        <w:rPr>
          <w:sz w:val="18"/>
          <w:szCs w:val="18"/>
        </w:rPr>
      </w:pPr>
    </w:p>
    <w:p w14:paraId="1FA5CAD8" w14:textId="4DEDE087" w:rsidR="00E33AEA" w:rsidRPr="008349EC" w:rsidRDefault="00E33AEA" w:rsidP="00E52216">
      <w:pPr>
        <w:pStyle w:val="Sinespaciado"/>
        <w:jc w:val="center"/>
        <w:rPr>
          <w:sz w:val="18"/>
          <w:szCs w:val="18"/>
        </w:rPr>
      </w:pPr>
      <w:r w:rsidRPr="008349EC">
        <w:rPr>
          <w:sz w:val="18"/>
          <w:szCs w:val="18"/>
        </w:rPr>
        <w:t xml:space="preserve">MAURICIO CARDENAS SANTAMARIA </w:t>
      </w:r>
      <w:r w:rsidRPr="008349EC">
        <w:rPr>
          <w:sz w:val="18"/>
          <w:szCs w:val="18"/>
        </w:rPr>
        <w:br/>
        <w:t>Ministro de Hacienda y Crédito Público</w:t>
      </w:r>
    </w:p>
    <w:p w14:paraId="2D2D5831" w14:textId="77777777" w:rsidR="008349EC" w:rsidRPr="008349EC" w:rsidRDefault="008349EC" w:rsidP="00E52216">
      <w:pPr>
        <w:pStyle w:val="Sinespaciado"/>
        <w:jc w:val="center"/>
        <w:rPr>
          <w:sz w:val="18"/>
          <w:szCs w:val="18"/>
        </w:rPr>
      </w:pPr>
    </w:p>
    <w:p w14:paraId="36637751" w14:textId="506C0FF3" w:rsidR="00E33AEA" w:rsidRPr="008349EC" w:rsidRDefault="00E33AEA" w:rsidP="00E52216">
      <w:pPr>
        <w:pStyle w:val="Sinespaciado"/>
        <w:jc w:val="center"/>
        <w:rPr>
          <w:sz w:val="18"/>
          <w:szCs w:val="18"/>
        </w:rPr>
      </w:pPr>
      <w:r w:rsidRPr="008349EC">
        <w:rPr>
          <w:sz w:val="18"/>
          <w:szCs w:val="18"/>
        </w:rPr>
        <w:t>CRISTINA PARDO SCHLESINGER</w:t>
      </w:r>
      <w:r w:rsidRPr="008349EC">
        <w:rPr>
          <w:sz w:val="18"/>
          <w:szCs w:val="18"/>
        </w:rPr>
        <w:br/>
        <w:t xml:space="preserve"> Secretaria Jurídica de Presidencia de la República</w:t>
      </w:r>
    </w:p>
    <w:p w14:paraId="3F9D1FAD" w14:textId="77777777" w:rsidR="008349EC" w:rsidRPr="008349EC" w:rsidRDefault="008349EC" w:rsidP="00E52216">
      <w:pPr>
        <w:pStyle w:val="Sinespaciado"/>
        <w:jc w:val="center"/>
        <w:rPr>
          <w:sz w:val="18"/>
          <w:szCs w:val="18"/>
        </w:rPr>
      </w:pPr>
    </w:p>
    <w:p w14:paraId="20E536C5" w14:textId="22341A67" w:rsidR="00E33AEA" w:rsidRPr="008349EC" w:rsidRDefault="00E33AEA" w:rsidP="00E52216">
      <w:pPr>
        <w:pStyle w:val="Sinespaciado"/>
        <w:jc w:val="center"/>
        <w:rPr>
          <w:sz w:val="18"/>
          <w:szCs w:val="18"/>
        </w:rPr>
      </w:pPr>
      <w:r w:rsidRPr="008349EC">
        <w:rPr>
          <w:sz w:val="18"/>
          <w:szCs w:val="18"/>
        </w:rPr>
        <w:t xml:space="preserve">ADRIANA GUILLEN ARANGO </w:t>
      </w:r>
      <w:r w:rsidRPr="008349EC">
        <w:rPr>
          <w:sz w:val="18"/>
          <w:szCs w:val="18"/>
        </w:rPr>
        <w:br/>
        <w:t>Directora General ANDJE</w:t>
      </w:r>
      <w:r w:rsidR="008349EC" w:rsidRPr="008349EC">
        <w:rPr>
          <w:sz w:val="18"/>
          <w:szCs w:val="18"/>
        </w:rPr>
        <w:br/>
      </w:r>
      <w:r w:rsidR="008349EC" w:rsidRPr="008349EC">
        <w:rPr>
          <w:sz w:val="18"/>
          <w:szCs w:val="18"/>
        </w:rPr>
        <w:br/>
        <w:t>ISABEL ABELLO ALBINO</w:t>
      </w:r>
      <w:r w:rsidR="008349EC" w:rsidRPr="008349EC">
        <w:rPr>
          <w:sz w:val="18"/>
          <w:szCs w:val="18"/>
        </w:rPr>
        <w:br/>
        <w:t>Secretaria Técnica</w:t>
      </w:r>
    </w:p>
    <w:p w14:paraId="09D4FB74" w14:textId="77777777" w:rsidR="008349EC" w:rsidRPr="008349EC" w:rsidRDefault="008349EC" w:rsidP="00E52216">
      <w:pPr>
        <w:pStyle w:val="Sinespaciado"/>
        <w:jc w:val="center"/>
        <w:rPr>
          <w:sz w:val="18"/>
          <w:szCs w:val="18"/>
        </w:rPr>
      </w:pPr>
    </w:p>
    <w:p w14:paraId="4B77631A" w14:textId="3C22E26F" w:rsidR="00E33AEA" w:rsidRPr="008349EC" w:rsidRDefault="00E33AEA" w:rsidP="00E52216">
      <w:pPr>
        <w:pStyle w:val="Sinespaciado"/>
        <w:jc w:val="center"/>
        <w:rPr>
          <w:sz w:val="18"/>
          <w:szCs w:val="18"/>
        </w:rPr>
      </w:pPr>
      <w:r w:rsidRPr="008349EC">
        <w:rPr>
          <w:sz w:val="18"/>
          <w:szCs w:val="18"/>
        </w:rPr>
        <w:t xml:space="preserve">NICANOR RESTREPO </w:t>
      </w:r>
      <w:r w:rsidRPr="008349EC">
        <w:rPr>
          <w:sz w:val="18"/>
          <w:szCs w:val="18"/>
        </w:rPr>
        <w:br/>
        <w:t>Asesor</w:t>
      </w:r>
    </w:p>
    <w:p w14:paraId="02DB3C06" w14:textId="77777777" w:rsidR="00E52216" w:rsidRPr="008349EC" w:rsidRDefault="00E52216" w:rsidP="00E52216">
      <w:pPr>
        <w:pStyle w:val="Sinespaciado"/>
        <w:rPr>
          <w:sz w:val="18"/>
          <w:szCs w:val="18"/>
        </w:rPr>
      </w:pPr>
    </w:p>
    <w:p w14:paraId="6B0F6566" w14:textId="5E52F6A6" w:rsidR="008349EC" w:rsidRPr="008349EC" w:rsidRDefault="008349EC" w:rsidP="00E52216">
      <w:pPr>
        <w:pStyle w:val="Sinespaciado"/>
        <w:jc w:val="center"/>
        <w:rPr>
          <w:b/>
          <w:sz w:val="18"/>
          <w:szCs w:val="18"/>
        </w:rPr>
      </w:pPr>
      <w:r w:rsidRPr="008349EC">
        <w:rPr>
          <w:b/>
          <w:sz w:val="18"/>
          <w:szCs w:val="18"/>
        </w:rPr>
        <w:t>AGENCIA NACIONAL DE DEFENSA JURÍDICA DEL ESTADO</w:t>
      </w:r>
    </w:p>
    <w:p w14:paraId="38C7139C" w14:textId="77777777" w:rsidR="008349EC" w:rsidRPr="008349EC" w:rsidRDefault="008349EC" w:rsidP="00E52216">
      <w:pPr>
        <w:pStyle w:val="Sinespaciado"/>
        <w:jc w:val="center"/>
        <w:rPr>
          <w:sz w:val="18"/>
          <w:szCs w:val="18"/>
        </w:rPr>
      </w:pPr>
    </w:p>
    <w:p w14:paraId="473DEAE2" w14:textId="67A1901F" w:rsidR="008349EC" w:rsidRPr="008349EC" w:rsidRDefault="008349EC" w:rsidP="00E52216">
      <w:pPr>
        <w:pStyle w:val="Sinespaciado"/>
        <w:jc w:val="center"/>
        <w:rPr>
          <w:sz w:val="18"/>
          <w:szCs w:val="18"/>
        </w:rPr>
      </w:pPr>
      <w:r w:rsidRPr="008349EC">
        <w:rPr>
          <w:sz w:val="18"/>
          <w:szCs w:val="18"/>
        </w:rPr>
        <w:t>ADRIANA GUILLÉN ARANGO</w:t>
      </w:r>
      <w:r w:rsidRPr="008349EC">
        <w:rPr>
          <w:sz w:val="18"/>
          <w:szCs w:val="18"/>
        </w:rPr>
        <w:br/>
        <w:t>Directora General</w:t>
      </w:r>
      <w:r w:rsidRPr="008349EC">
        <w:rPr>
          <w:sz w:val="18"/>
          <w:szCs w:val="18"/>
        </w:rPr>
        <w:br/>
      </w:r>
      <w:r w:rsidRPr="008349EC">
        <w:rPr>
          <w:sz w:val="18"/>
          <w:szCs w:val="18"/>
        </w:rPr>
        <w:br/>
        <w:t xml:space="preserve">YOLANDA GÓMEZ </w:t>
      </w:r>
      <w:r w:rsidR="00E52216">
        <w:rPr>
          <w:sz w:val="18"/>
          <w:szCs w:val="18"/>
        </w:rPr>
        <w:t>RESTREPO</w:t>
      </w:r>
      <w:r w:rsidRPr="008349EC">
        <w:rPr>
          <w:sz w:val="18"/>
          <w:szCs w:val="18"/>
        </w:rPr>
        <w:br/>
        <w:t>Directora Técnica</w:t>
      </w:r>
    </w:p>
    <w:p w14:paraId="4ABF4F2E" w14:textId="77777777" w:rsidR="008349EC" w:rsidRPr="008349EC" w:rsidRDefault="008349EC" w:rsidP="00E52216">
      <w:pPr>
        <w:pStyle w:val="Sinespaciado"/>
        <w:jc w:val="center"/>
        <w:rPr>
          <w:sz w:val="18"/>
          <w:szCs w:val="18"/>
        </w:rPr>
      </w:pPr>
    </w:p>
    <w:p w14:paraId="54493987" w14:textId="6B2BEB11" w:rsidR="008349EC" w:rsidRPr="008349EC" w:rsidRDefault="008349EC" w:rsidP="00E52216">
      <w:pPr>
        <w:pStyle w:val="Sinespaciado"/>
        <w:jc w:val="center"/>
        <w:rPr>
          <w:sz w:val="18"/>
          <w:szCs w:val="18"/>
        </w:rPr>
      </w:pPr>
      <w:r w:rsidRPr="008349EC">
        <w:rPr>
          <w:sz w:val="18"/>
          <w:szCs w:val="18"/>
        </w:rPr>
        <w:t xml:space="preserve">DIANA FAJARDO </w:t>
      </w:r>
      <w:r>
        <w:rPr>
          <w:sz w:val="18"/>
          <w:szCs w:val="18"/>
        </w:rPr>
        <w:t>RIVERA</w:t>
      </w:r>
      <w:r w:rsidRPr="008349EC">
        <w:rPr>
          <w:sz w:val="18"/>
          <w:szCs w:val="18"/>
        </w:rPr>
        <w:br/>
        <w:t>Directora Técnica</w:t>
      </w:r>
    </w:p>
    <w:p w14:paraId="284D80D6" w14:textId="77777777" w:rsidR="008349EC" w:rsidRPr="008349EC" w:rsidRDefault="008349EC" w:rsidP="00E52216">
      <w:pPr>
        <w:pStyle w:val="Sinespaciado"/>
        <w:jc w:val="center"/>
        <w:rPr>
          <w:sz w:val="18"/>
          <w:szCs w:val="18"/>
        </w:rPr>
      </w:pPr>
    </w:p>
    <w:p w14:paraId="163CCBA9" w14:textId="092EE316" w:rsidR="008349EC" w:rsidRPr="008349EC" w:rsidRDefault="008349EC" w:rsidP="00E52216">
      <w:pPr>
        <w:pStyle w:val="Sinespaciado"/>
        <w:jc w:val="center"/>
        <w:rPr>
          <w:sz w:val="18"/>
          <w:szCs w:val="18"/>
        </w:rPr>
      </w:pPr>
      <w:r w:rsidRPr="008349EC">
        <w:rPr>
          <w:sz w:val="18"/>
          <w:szCs w:val="18"/>
        </w:rPr>
        <w:t>MARIANA MARTÍNEZ CUÉLLAR</w:t>
      </w:r>
      <w:r w:rsidRPr="008349EC">
        <w:rPr>
          <w:sz w:val="18"/>
          <w:szCs w:val="18"/>
        </w:rPr>
        <w:br/>
        <w:t>Directora Técnica</w:t>
      </w:r>
    </w:p>
    <w:p w14:paraId="40546583" w14:textId="77777777" w:rsidR="008349EC" w:rsidRPr="008349EC" w:rsidRDefault="008349EC" w:rsidP="00E52216">
      <w:pPr>
        <w:pStyle w:val="Sinespaciado"/>
        <w:jc w:val="center"/>
        <w:rPr>
          <w:sz w:val="18"/>
          <w:szCs w:val="18"/>
        </w:rPr>
      </w:pPr>
    </w:p>
    <w:p w14:paraId="144CEE3F" w14:textId="0854F0F5" w:rsidR="008349EC" w:rsidRPr="008349EC" w:rsidRDefault="008349EC" w:rsidP="00E52216">
      <w:pPr>
        <w:pStyle w:val="Sinespaciado"/>
        <w:jc w:val="center"/>
        <w:rPr>
          <w:sz w:val="18"/>
          <w:szCs w:val="18"/>
        </w:rPr>
      </w:pPr>
      <w:r w:rsidRPr="008349EC">
        <w:rPr>
          <w:sz w:val="18"/>
          <w:szCs w:val="18"/>
        </w:rPr>
        <w:t>ISABEL ABELLO ALBINO</w:t>
      </w:r>
      <w:r w:rsidRPr="008349EC">
        <w:rPr>
          <w:sz w:val="18"/>
          <w:szCs w:val="18"/>
        </w:rPr>
        <w:br/>
        <w:t>Secretaria General</w:t>
      </w:r>
      <w:r w:rsidRPr="008349EC">
        <w:rPr>
          <w:sz w:val="18"/>
          <w:szCs w:val="18"/>
        </w:rPr>
        <w:br/>
      </w:r>
    </w:p>
    <w:p w14:paraId="24EAEE5B" w14:textId="215588C1" w:rsidR="008349EC" w:rsidRPr="008349EC" w:rsidRDefault="008349EC" w:rsidP="00E52216">
      <w:pPr>
        <w:pStyle w:val="Sinespaciado"/>
        <w:jc w:val="center"/>
        <w:rPr>
          <w:sz w:val="18"/>
          <w:szCs w:val="18"/>
        </w:rPr>
      </w:pPr>
      <w:r w:rsidRPr="008349EC">
        <w:rPr>
          <w:sz w:val="18"/>
          <w:szCs w:val="18"/>
        </w:rPr>
        <w:t>MARTHA RAMÍREZ</w:t>
      </w:r>
      <w:r w:rsidR="00E52216">
        <w:rPr>
          <w:sz w:val="18"/>
          <w:szCs w:val="18"/>
        </w:rPr>
        <w:t xml:space="preserve"> FAYAD</w:t>
      </w:r>
      <w:r w:rsidRPr="008349EC">
        <w:rPr>
          <w:sz w:val="18"/>
          <w:szCs w:val="18"/>
        </w:rPr>
        <w:br/>
        <w:t>Asesor</w:t>
      </w:r>
      <w:r w:rsidRPr="008349EC">
        <w:rPr>
          <w:sz w:val="18"/>
          <w:szCs w:val="18"/>
        </w:rPr>
        <w:br/>
      </w:r>
      <w:r w:rsidRPr="008349EC">
        <w:rPr>
          <w:sz w:val="18"/>
          <w:szCs w:val="18"/>
        </w:rPr>
        <w:br/>
        <w:t>MARÍA FABIANA DE LA ESPRIELLA SALCEDO</w:t>
      </w:r>
      <w:r w:rsidRPr="008349EC">
        <w:rPr>
          <w:sz w:val="18"/>
          <w:szCs w:val="18"/>
        </w:rPr>
        <w:br/>
        <w:t>Asesor</w:t>
      </w:r>
    </w:p>
    <w:p w14:paraId="7DE03C54" w14:textId="77777777" w:rsidR="00E52216" w:rsidRDefault="00E52216" w:rsidP="008349EC">
      <w:pPr>
        <w:jc w:val="right"/>
        <w:rPr>
          <w:rFonts w:cs="Arial"/>
          <w:sz w:val="14"/>
          <w:szCs w:val="14"/>
          <w:lang w:val="es-CO"/>
        </w:rPr>
      </w:pPr>
    </w:p>
    <w:p w14:paraId="6BE520CD" w14:textId="2F4BE126" w:rsidR="00E33AEA" w:rsidRPr="008349EC" w:rsidRDefault="00E52216" w:rsidP="008349EC">
      <w:pPr>
        <w:jc w:val="right"/>
        <w:rPr>
          <w:rFonts w:cs="Arial"/>
          <w:sz w:val="14"/>
          <w:szCs w:val="14"/>
          <w:lang w:val="es-CO"/>
        </w:rPr>
      </w:pPr>
      <w:r w:rsidRPr="00E52216">
        <w:rPr>
          <w:rFonts w:cs="Arial"/>
          <w:b/>
          <w:noProof/>
          <w:sz w:val="14"/>
          <w:szCs w:val="14"/>
          <w:lang w:val="es-CO"/>
        </w:rPr>
        <mc:AlternateContent>
          <mc:Choice Requires="wps">
            <w:drawing>
              <wp:anchor distT="45720" distB="45720" distL="114300" distR="114300" simplePos="0" relativeHeight="251706623" behindDoc="0" locked="0" layoutInCell="1" allowOverlap="1" wp14:anchorId="4CA07FA5" wp14:editId="7ACBF76E">
                <wp:simplePos x="0" y="0"/>
                <wp:positionH relativeFrom="margin">
                  <wp:align>center</wp:align>
                </wp:positionH>
                <wp:positionV relativeFrom="paragraph">
                  <wp:posOffset>119693</wp:posOffset>
                </wp:positionV>
                <wp:extent cx="2524125" cy="12477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247775"/>
                        </a:xfrm>
                        <a:prstGeom prst="rect">
                          <a:avLst/>
                        </a:prstGeom>
                        <a:solidFill>
                          <a:schemeClr val="bg1">
                            <a:lumMod val="95000"/>
                          </a:schemeClr>
                        </a:solidFill>
                        <a:ln w="9525">
                          <a:solidFill>
                            <a:srgbClr val="000000"/>
                          </a:solidFill>
                          <a:miter lim="800000"/>
                          <a:headEnd/>
                          <a:tailEnd/>
                        </a:ln>
                      </wps:spPr>
                      <wps:txbx>
                        <w:txbxContent>
                          <w:p w14:paraId="3D1C2DDD" w14:textId="47EB6D82" w:rsidR="00E52216" w:rsidRDefault="00E52216" w:rsidP="00E52216">
                            <w:pPr>
                              <w:jc w:val="center"/>
                            </w:pPr>
                            <w:r w:rsidRPr="008349EC">
                              <w:rPr>
                                <w:rFonts w:cs="Arial"/>
                                <w:b/>
                                <w:sz w:val="14"/>
                                <w:szCs w:val="14"/>
                                <w:lang w:val="es-CO"/>
                              </w:rPr>
                              <w:t>AGENCIA NACIONAL DE DEFENSA JURÍDICA DEL ESTADO</w:t>
                            </w:r>
                            <w:r w:rsidRPr="008349EC">
                              <w:rPr>
                                <w:rFonts w:cs="Arial"/>
                                <w:b/>
                                <w:sz w:val="14"/>
                                <w:szCs w:val="14"/>
                                <w:lang w:val="es-CO"/>
                              </w:rPr>
                              <w:br/>
                            </w:r>
                            <w:r w:rsidRPr="008349EC">
                              <w:rPr>
                                <w:rFonts w:cs="Arial"/>
                                <w:sz w:val="14"/>
                                <w:szCs w:val="14"/>
                                <w:lang w:val="es-CO"/>
                              </w:rPr>
                              <w:t>Derecho</w:t>
                            </w:r>
                            <w:r>
                              <w:rPr>
                                <w:rFonts w:cs="Arial"/>
                                <w:sz w:val="14"/>
                                <w:szCs w:val="14"/>
                                <w:lang w:val="es-CO"/>
                              </w:rPr>
                              <w:t>s</w:t>
                            </w:r>
                            <w:r w:rsidRPr="008349EC">
                              <w:rPr>
                                <w:rFonts w:cs="Arial"/>
                                <w:sz w:val="14"/>
                                <w:szCs w:val="14"/>
                                <w:lang w:val="es-CO"/>
                              </w:rPr>
                              <w:t xml:space="preserve"> exclusivos de publicación y distribución de la obra</w:t>
                            </w:r>
                            <w:r w:rsidRPr="008349EC">
                              <w:rPr>
                                <w:rFonts w:cs="Arial"/>
                                <w:sz w:val="14"/>
                                <w:szCs w:val="14"/>
                                <w:lang w:val="es-CO"/>
                              </w:rPr>
                              <w:br/>
                              <w:t xml:space="preserve">Cra. 7 # 75 – 66. Piso 3. Bogotá, D.C. </w:t>
                            </w:r>
                            <w:r w:rsidRPr="008349EC">
                              <w:rPr>
                                <w:rFonts w:cs="Arial"/>
                                <w:sz w:val="14"/>
                                <w:szCs w:val="14"/>
                                <w:lang w:val="es-CO"/>
                              </w:rPr>
                              <w:br/>
                              <w:t>PBX. 2558955</w:t>
                            </w:r>
                            <w:r w:rsidRPr="008349EC">
                              <w:rPr>
                                <w:rFonts w:cs="Arial"/>
                                <w:sz w:val="14"/>
                                <w:szCs w:val="14"/>
                                <w:lang w:val="es-CO"/>
                              </w:rPr>
                              <w:br/>
                              <w:t>www.defensajuridica.gov.co</w:t>
                            </w:r>
                            <w:r w:rsidRPr="008349EC">
                              <w:rPr>
                                <w:rFonts w:cs="Arial"/>
                                <w:sz w:val="14"/>
                                <w:szCs w:val="14"/>
                                <w:lang w:val="es-CO"/>
                              </w:rPr>
                              <w:br/>
                              <w:t>Edición Institucional</w:t>
                            </w:r>
                            <w:r w:rsidRPr="008349EC">
                              <w:rPr>
                                <w:rFonts w:cs="Arial"/>
                                <w:sz w:val="14"/>
                                <w:szCs w:val="14"/>
                                <w:lang w:val="es-CO"/>
                              </w:rPr>
                              <w:br/>
                            </w:r>
                            <w:r w:rsidRPr="008349EC">
                              <w:rPr>
                                <w:rFonts w:cs="Arial"/>
                                <w:sz w:val="14"/>
                                <w:szCs w:val="14"/>
                                <w:lang w:val="es-CO"/>
                              </w:rPr>
                              <w:br/>
                            </w:r>
                            <w:r w:rsidRPr="008349EC">
                              <w:rPr>
                                <w:rFonts w:cs="Arial"/>
                                <w:b/>
                                <w:sz w:val="14"/>
                                <w:szCs w:val="14"/>
                                <w:lang w:val="es-CO"/>
                              </w:rPr>
                              <w:t>Impresión</w:t>
                            </w:r>
                            <w:r w:rsidRPr="008349EC">
                              <w:rPr>
                                <w:rFonts w:cs="Arial"/>
                                <w:sz w:val="14"/>
                                <w:szCs w:val="14"/>
                                <w:lang w:val="es-CO"/>
                              </w:rPr>
                              <w:br/>
                              <w:t>Imprenta Nacional de Colombia</w:t>
                            </w:r>
                            <w:r w:rsidRPr="008349EC">
                              <w:rPr>
                                <w:rFonts w:cs="Arial"/>
                                <w:sz w:val="14"/>
                                <w:szCs w:val="14"/>
                                <w:lang w:val="es-CO"/>
                              </w:rPr>
                              <w:br/>
                            </w:r>
                            <w:r w:rsidRPr="008349EC">
                              <w:rPr>
                                <w:rFonts w:cs="Arial"/>
                                <w:sz w:val="14"/>
                                <w:szCs w:val="14"/>
                              </w:rPr>
                              <w:t>Carrera 66 No.24 -</w:t>
                            </w:r>
                            <w:r w:rsidRPr="008349EC">
                              <w:rPr>
                                <w:rFonts w:cs="Arial"/>
                                <w:b/>
                                <w:sz w:val="14"/>
                                <w:szCs w:val="14"/>
                              </w:rPr>
                              <w:t>09</w:t>
                            </w:r>
                            <w:r w:rsidRPr="008349EC">
                              <w:rPr>
                                <w:rStyle w:val="apple-converted-space"/>
                                <w:rFonts w:cs="Arial"/>
                                <w:b/>
                                <w:sz w:val="14"/>
                                <w:szCs w:val="14"/>
                              </w:rPr>
                              <w:t> </w:t>
                            </w:r>
                            <w:r w:rsidRPr="008349EC">
                              <w:rPr>
                                <w:rStyle w:val="Textoennegrita"/>
                                <w:rFonts w:cs="Arial"/>
                                <w:b w:val="0"/>
                                <w:sz w:val="14"/>
                                <w:szCs w:val="14"/>
                              </w:rPr>
                              <w:t>PBX:</w:t>
                            </w:r>
                            <w:r w:rsidRPr="008349EC">
                              <w:rPr>
                                <w:rStyle w:val="apple-converted-space"/>
                                <w:rFonts w:cs="Arial"/>
                                <w:b/>
                                <w:sz w:val="14"/>
                                <w:szCs w:val="14"/>
                              </w:rPr>
                              <w:t> </w:t>
                            </w:r>
                            <w:r w:rsidRPr="008349EC">
                              <w:rPr>
                                <w:rFonts w:cs="Arial"/>
                                <w:sz w:val="14"/>
                                <w:szCs w:val="14"/>
                              </w:rPr>
                              <w:t>4578000</w:t>
                            </w:r>
                            <w:r w:rsidRPr="008349EC">
                              <w:rPr>
                                <w:rStyle w:val="apple-converted-space"/>
                                <w:rFonts w:cs="Arial"/>
                                <w:sz w:val="14"/>
                                <w:szCs w:val="14"/>
                              </w:rPr>
                              <w:t> </w:t>
                            </w:r>
                            <w:r w:rsidRPr="008349EC">
                              <w:rPr>
                                <w:rStyle w:val="apple-converted-space"/>
                                <w:rFonts w:cs="Arial"/>
                                <w:sz w:val="14"/>
                                <w:szCs w:val="14"/>
                              </w:rPr>
                              <w:br/>
                              <w:t>www.imprenta.gov.co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07FA5" id="_x0000_t202" coordsize="21600,21600" o:spt="202" path="m,l,21600r21600,l21600,xe">
                <v:stroke joinstyle="miter"/>
                <v:path gradientshapeok="t" o:connecttype="rect"/>
              </v:shapetype>
              <v:shape id="Cuadro de texto 2" o:spid="_x0000_s1026" type="#_x0000_t202" style="position:absolute;left:0;text-align:left;margin-left:0;margin-top:9.4pt;width:198.75pt;height:98.25pt;z-index:25170662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" fillcolor="#f2f2f2 [3052]">
                <v:textbox>
                  <w:txbxContent>
                    <w:p w14:paraId="3D1C2DDD" w14:textId="47EB6D82" w:rsidR="00E52216" w:rsidRDefault="00E52216" w:rsidP="00E52216">
                      <w:pPr>
                        <w:jc w:val="center"/>
                      </w:pPr>
                      <w:r w:rsidRPr="008349EC">
                        <w:rPr>
                          <w:rFonts w:cs="Arial"/>
                          <w:b/>
                          <w:sz w:val="14"/>
                          <w:szCs w:val="14"/>
                          <w:lang w:val="es-CO"/>
                        </w:rPr>
                        <w:t>AGENCIA NACIONAL DE DEFENSA JURÍDICA DEL ESTADO</w:t>
                      </w:r>
                      <w:r w:rsidRPr="008349EC">
                        <w:rPr>
                          <w:rFonts w:cs="Arial"/>
                          <w:b/>
                          <w:sz w:val="14"/>
                          <w:szCs w:val="14"/>
                          <w:lang w:val="es-CO"/>
                        </w:rPr>
                        <w:br/>
                      </w:r>
                      <w:r w:rsidRPr="008349EC">
                        <w:rPr>
                          <w:rFonts w:cs="Arial"/>
                          <w:sz w:val="14"/>
                          <w:szCs w:val="14"/>
                          <w:lang w:val="es-CO"/>
                        </w:rPr>
                        <w:t>Derecho</w:t>
                      </w:r>
                      <w:r>
                        <w:rPr>
                          <w:rFonts w:cs="Arial"/>
                          <w:sz w:val="14"/>
                          <w:szCs w:val="14"/>
                          <w:lang w:val="es-CO"/>
                        </w:rPr>
                        <w:t>s</w:t>
                      </w:r>
                      <w:r w:rsidRPr="008349EC">
                        <w:rPr>
                          <w:rFonts w:cs="Arial"/>
                          <w:sz w:val="14"/>
                          <w:szCs w:val="14"/>
                          <w:lang w:val="es-CO"/>
                        </w:rPr>
                        <w:t xml:space="preserve"> exclusivos de publicación y distribución de la obra</w:t>
                      </w:r>
                      <w:r w:rsidRPr="008349EC">
                        <w:rPr>
                          <w:rFonts w:cs="Arial"/>
                          <w:sz w:val="14"/>
                          <w:szCs w:val="14"/>
                          <w:lang w:val="es-CO"/>
                        </w:rPr>
                        <w:br/>
                        <w:t xml:space="preserve">Cra. 7 # 75 – 66. Piso 3. Bogotá, D.C. </w:t>
                      </w:r>
                      <w:r w:rsidRPr="008349EC">
                        <w:rPr>
                          <w:rFonts w:cs="Arial"/>
                          <w:sz w:val="14"/>
                          <w:szCs w:val="14"/>
                          <w:lang w:val="es-CO"/>
                        </w:rPr>
                        <w:br/>
                        <w:t>PBX. 2558955</w:t>
                      </w:r>
                      <w:r w:rsidRPr="008349EC">
                        <w:rPr>
                          <w:rFonts w:cs="Arial"/>
                          <w:sz w:val="14"/>
                          <w:szCs w:val="14"/>
                          <w:lang w:val="es-CO"/>
                        </w:rPr>
                        <w:br/>
                        <w:t>www.defensajuridica.gov.co</w:t>
                      </w:r>
                      <w:r w:rsidRPr="008349EC">
                        <w:rPr>
                          <w:rFonts w:cs="Arial"/>
                          <w:sz w:val="14"/>
                          <w:szCs w:val="14"/>
                          <w:lang w:val="es-CO"/>
                        </w:rPr>
                        <w:br/>
                        <w:t>Edición Institucional</w:t>
                      </w:r>
                      <w:r w:rsidRPr="008349EC">
                        <w:rPr>
                          <w:rFonts w:cs="Arial"/>
                          <w:sz w:val="14"/>
                          <w:szCs w:val="14"/>
                          <w:lang w:val="es-CO"/>
                        </w:rPr>
                        <w:br/>
                      </w:r>
                      <w:r w:rsidRPr="008349EC">
                        <w:rPr>
                          <w:rFonts w:cs="Arial"/>
                          <w:sz w:val="14"/>
                          <w:szCs w:val="14"/>
                          <w:lang w:val="es-CO"/>
                        </w:rPr>
                        <w:br/>
                      </w:r>
                      <w:r w:rsidRPr="008349EC">
                        <w:rPr>
                          <w:rFonts w:cs="Arial"/>
                          <w:b/>
                          <w:sz w:val="14"/>
                          <w:szCs w:val="14"/>
                          <w:lang w:val="es-CO"/>
                        </w:rPr>
                        <w:t>Impresión</w:t>
                      </w:r>
                      <w:r w:rsidRPr="008349EC">
                        <w:rPr>
                          <w:rFonts w:cs="Arial"/>
                          <w:sz w:val="14"/>
                          <w:szCs w:val="14"/>
                          <w:lang w:val="es-CO"/>
                        </w:rPr>
                        <w:br/>
                        <w:t>Imprenta Nacional de Colombia</w:t>
                      </w:r>
                      <w:r w:rsidRPr="008349EC">
                        <w:rPr>
                          <w:rFonts w:cs="Arial"/>
                          <w:sz w:val="14"/>
                          <w:szCs w:val="14"/>
                          <w:lang w:val="es-CO"/>
                        </w:rPr>
                        <w:br/>
                      </w:r>
                      <w:r w:rsidRPr="008349EC">
                        <w:rPr>
                          <w:rFonts w:cs="Arial"/>
                          <w:sz w:val="14"/>
                          <w:szCs w:val="14"/>
                        </w:rPr>
                        <w:t>Carrera 66 No.24 -</w:t>
                      </w:r>
                      <w:r w:rsidRPr="008349EC">
                        <w:rPr>
                          <w:rFonts w:cs="Arial"/>
                          <w:b/>
                          <w:sz w:val="14"/>
                          <w:szCs w:val="14"/>
                        </w:rPr>
                        <w:t>09</w:t>
                      </w:r>
                      <w:r w:rsidRPr="008349EC">
                        <w:rPr>
                          <w:rStyle w:val="apple-converted-space"/>
                          <w:rFonts w:cs="Arial"/>
                          <w:b/>
                          <w:sz w:val="14"/>
                          <w:szCs w:val="14"/>
                        </w:rPr>
                        <w:t> </w:t>
                      </w:r>
                      <w:r w:rsidRPr="008349EC">
                        <w:rPr>
                          <w:rStyle w:val="Textoennegrita"/>
                          <w:rFonts w:cs="Arial"/>
                          <w:b w:val="0"/>
                          <w:sz w:val="14"/>
                          <w:szCs w:val="14"/>
                        </w:rPr>
                        <w:t>PBX:</w:t>
                      </w:r>
                      <w:r w:rsidRPr="008349EC">
                        <w:rPr>
                          <w:rStyle w:val="apple-converted-space"/>
                          <w:rFonts w:cs="Arial"/>
                          <w:b/>
                          <w:sz w:val="14"/>
                          <w:szCs w:val="14"/>
                        </w:rPr>
                        <w:t> </w:t>
                      </w:r>
                      <w:r w:rsidRPr="008349EC">
                        <w:rPr>
                          <w:rFonts w:cs="Arial"/>
                          <w:sz w:val="14"/>
                          <w:szCs w:val="14"/>
                        </w:rPr>
                        <w:t>4578000</w:t>
                      </w:r>
                      <w:r w:rsidRPr="008349EC">
                        <w:rPr>
                          <w:rStyle w:val="apple-converted-space"/>
                          <w:rFonts w:cs="Arial"/>
                          <w:sz w:val="14"/>
                          <w:szCs w:val="14"/>
                        </w:rPr>
                        <w:t> </w:t>
                      </w:r>
                      <w:r w:rsidRPr="008349EC">
                        <w:rPr>
                          <w:rStyle w:val="apple-converted-space"/>
                          <w:rFonts w:cs="Arial"/>
                          <w:sz w:val="14"/>
                          <w:szCs w:val="14"/>
                        </w:rPr>
                        <w:br/>
                        <w:t>www.imprenta.gov.co</w:t>
                      </w:r>
                    </w:p>
                  </w:txbxContent>
                </v:textbox>
                <w10:wrap type="square" anchorx="margin"/>
              </v:shape>
            </w:pict>
          </mc:Fallback>
        </mc:AlternateContent>
      </w:r>
    </w:p>
    <w:p w14:paraId="16D4A03C" w14:textId="4EC8DD3D" w:rsidR="00E33AEA" w:rsidRDefault="00E33AEA" w:rsidP="00D85EB8">
      <w:pPr>
        <w:jc w:val="center"/>
        <w:rPr>
          <w:rFonts w:cs="Arial"/>
          <w:b/>
          <w:lang w:val="es-CO"/>
        </w:rPr>
      </w:pPr>
    </w:p>
    <w:p w14:paraId="3A83F9FB" w14:textId="77777777" w:rsidR="00E52216" w:rsidRDefault="00E52216" w:rsidP="00D85EB8">
      <w:pPr>
        <w:jc w:val="center"/>
        <w:rPr>
          <w:rFonts w:cs="Arial"/>
          <w:b/>
          <w:lang w:val="es-CO"/>
        </w:rPr>
      </w:pPr>
    </w:p>
    <w:p w14:paraId="3CCC5E6A" w14:textId="77777777" w:rsidR="00E52216" w:rsidRDefault="00E52216" w:rsidP="00D85EB8">
      <w:pPr>
        <w:jc w:val="center"/>
        <w:rPr>
          <w:rFonts w:cs="Arial"/>
          <w:b/>
          <w:lang w:val="es-CO"/>
        </w:rPr>
      </w:pPr>
    </w:p>
    <w:p w14:paraId="074ED5FD" w14:textId="77777777" w:rsidR="00E52216" w:rsidRDefault="00E52216" w:rsidP="00D85EB8">
      <w:pPr>
        <w:jc w:val="center"/>
        <w:rPr>
          <w:rFonts w:cs="Arial"/>
          <w:b/>
          <w:lang w:val="es-CO"/>
        </w:rPr>
      </w:pPr>
    </w:p>
    <w:p w14:paraId="29AFE7A6" w14:textId="77777777" w:rsidR="004F153D" w:rsidRDefault="004F153D" w:rsidP="00D85EB8">
      <w:pPr>
        <w:jc w:val="center"/>
        <w:rPr>
          <w:rFonts w:cs="Arial"/>
          <w:b/>
          <w:lang w:val="es-CO"/>
        </w:rPr>
      </w:pPr>
      <w:r w:rsidRPr="004F153D">
        <w:rPr>
          <w:rFonts w:cs="Arial"/>
          <w:b/>
          <w:lang w:val="es-CO"/>
        </w:rPr>
        <w:lastRenderedPageBreak/>
        <w:t>INFORME SOBRE LA ACTIVIDAD LITIGIOSA DE LA NACIÓN</w:t>
      </w:r>
    </w:p>
    <w:p w14:paraId="5C56861F" w14:textId="2F6B89C9" w:rsidR="00AC513A" w:rsidRPr="004F153D" w:rsidRDefault="00AC513A" w:rsidP="004F153D">
      <w:pPr>
        <w:jc w:val="center"/>
        <w:rPr>
          <w:rFonts w:cs="Arial"/>
          <w:b/>
          <w:lang w:val="es-CO"/>
        </w:rPr>
      </w:pPr>
    </w:p>
    <w:tbl>
      <w:tblPr>
        <w:tblStyle w:val="Tablanormal1"/>
        <w:tblW w:w="9067" w:type="dxa"/>
        <w:tblLook w:val="04A0" w:firstRow="1" w:lastRow="0" w:firstColumn="1" w:lastColumn="0" w:noHBand="0" w:noVBand="1"/>
      </w:tblPr>
      <w:tblGrid>
        <w:gridCol w:w="7988"/>
        <w:gridCol w:w="1079"/>
      </w:tblGrid>
      <w:tr w:rsidR="004F153D" w:rsidRPr="00B601E5" w14:paraId="58F8A974" w14:textId="77777777" w:rsidTr="00AC5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7E6443A7" w14:textId="77777777" w:rsidR="004F153D" w:rsidRPr="00B601E5" w:rsidRDefault="004F153D" w:rsidP="004F153D">
            <w:pPr>
              <w:spacing w:after="200"/>
              <w:jc w:val="center"/>
              <w:rPr>
                <w:rFonts w:cs="Arial"/>
                <w:b w:val="0"/>
              </w:rPr>
            </w:pPr>
            <w:r w:rsidRPr="00B601E5">
              <w:rPr>
                <w:rFonts w:cs="Arial"/>
              </w:rPr>
              <w:t>TABLA DE CONTENIDO</w:t>
            </w:r>
          </w:p>
        </w:tc>
        <w:tc>
          <w:tcPr>
            <w:tcW w:w="1007" w:type="dxa"/>
          </w:tcPr>
          <w:p w14:paraId="67844930" w14:textId="77777777" w:rsidR="004F153D" w:rsidRPr="00B601E5" w:rsidRDefault="004F153D" w:rsidP="004F153D">
            <w:pPr>
              <w:spacing w:after="200"/>
              <w:cnfStyle w:val="100000000000" w:firstRow="1" w:lastRow="0" w:firstColumn="0" w:lastColumn="0" w:oddVBand="0" w:evenVBand="0" w:oddHBand="0" w:evenHBand="0" w:firstRowFirstColumn="0" w:firstRowLastColumn="0" w:lastRowFirstColumn="0" w:lastRowLastColumn="0"/>
              <w:rPr>
                <w:rFonts w:cs="Arial"/>
                <w:b w:val="0"/>
              </w:rPr>
            </w:pPr>
            <w:r w:rsidRPr="00B601E5">
              <w:rPr>
                <w:rFonts w:cs="Arial"/>
              </w:rPr>
              <w:t>PÁGINA</w:t>
            </w:r>
          </w:p>
        </w:tc>
      </w:tr>
      <w:tr w:rsidR="004F153D" w:rsidRPr="00B601E5" w14:paraId="566DC91E"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56899A03" w14:textId="77777777" w:rsidR="004F153D" w:rsidRPr="00B601E5" w:rsidRDefault="004F153D" w:rsidP="004F153D">
            <w:pPr>
              <w:spacing w:after="200"/>
              <w:rPr>
                <w:rFonts w:cs="Arial"/>
                <w:b w:val="0"/>
              </w:rPr>
            </w:pPr>
            <w:r w:rsidRPr="00B601E5">
              <w:rPr>
                <w:rFonts w:cs="Arial"/>
              </w:rPr>
              <w:t>1. INTRODUCCIÓN</w:t>
            </w:r>
          </w:p>
        </w:tc>
        <w:tc>
          <w:tcPr>
            <w:tcW w:w="1007" w:type="dxa"/>
          </w:tcPr>
          <w:p w14:paraId="77E63AE1" w14:textId="77777777" w:rsidR="004F153D" w:rsidRPr="00B601E5" w:rsidRDefault="004F153D"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sidRPr="00B601E5">
              <w:rPr>
                <w:rFonts w:cs="Arial"/>
                <w:b/>
              </w:rPr>
              <w:t>1</w:t>
            </w:r>
          </w:p>
        </w:tc>
      </w:tr>
      <w:tr w:rsidR="004F153D" w:rsidRPr="00B601E5" w14:paraId="65720313"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4CC955A5" w14:textId="77777777" w:rsidR="004F153D" w:rsidRPr="00B601E5" w:rsidRDefault="004F153D" w:rsidP="004F153D">
            <w:pPr>
              <w:spacing w:after="200"/>
              <w:rPr>
                <w:rFonts w:cs="Arial"/>
                <w:b w:val="0"/>
              </w:rPr>
            </w:pPr>
            <w:r w:rsidRPr="00B601E5">
              <w:rPr>
                <w:rFonts w:cs="Arial"/>
              </w:rPr>
              <w:t>2. ANTECEDENTE Y CONTEXTO GENERAL DE LA ACTIVIDAD LITIGIOSA DEL ESTADO</w:t>
            </w:r>
          </w:p>
        </w:tc>
        <w:tc>
          <w:tcPr>
            <w:tcW w:w="1007" w:type="dxa"/>
          </w:tcPr>
          <w:p w14:paraId="62E77B4C" w14:textId="77777777" w:rsidR="004F153D" w:rsidRPr="00B601E5" w:rsidRDefault="004F153D"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sidRPr="00B601E5">
              <w:rPr>
                <w:rFonts w:cs="Arial"/>
                <w:b/>
              </w:rPr>
              <w:t>2</w:t>
            </w:r>
          </w:p>
        </w:tc>
      </w:tr>
      <w:tr w:rsidR="004F153D" w:rsidRPr="00B601E5" w14:paraId="7CF04F14"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61ECE264" w14:textId="77777777" w:rsidR="004F153D" w:rsidRPr="00B601E5" w:rsidRDefault="004F153D" w:rsidP="004F153D">
            <w:pPr>
              <w:spacing w:after="200"/>
              <w:rPr>
                <w:rFonts w:cs="Arial"/>
                <w:b w:val="0"/>
              </w:rPr>
            </w:pPr>
            <w:r w:rsidRPr="00B601E5">
              <w:rPr>
                <w:rFonts w:cs="Arial"/>
              </w:rPr>
              <w:t>2.1. Pago de Sentencias y Conciliaciones 2000-2013</w:t>
            </w:r>
          </w:p>
        </w:tc>
        <w:tc>
          <w:tcPr>
            <w:tcW w:w="1007" w:type="dxa"/>
          </w:tcPr>
          <w:p w14:paraId="57B60525" w14:textId="77777777" w:rsidR="004F153D" w:rsidRPr="00B601E5" w:rsidRDefault="004F153D"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sidRPr="00B601E5">
              <w:rPr>
                <w:rFonts w:cs="Arial"/>
                <w:b/>
              </w:rPr>
              <w:t>3</w:t>
            </w:r>
          </w:p>
        </w:tc>
      </w:tr>
      <w:tr w:rsidR="004F153D" w:rsidRPr="00B601E5" w14:paraId="524D1DFE"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2A16AF06" w14:textId="77777777" w:rsidR="004F153D" w:rsidRPr="00B601E5" w:rsidRDefault="004F153D" w:rsidP="004F153D">
            <w:pPr>
              <w:spacing w:after="200"/>
              <w:rPr>
                <w:rFonts w:cs="Arial"/>
                <w:b w:val="0"/>
              </w:rPr>
            </w:pPr>
            <w:r w:rsidRPr="00B601E5">
              <w:rPr>
                <w:rFonts w:cs="Arial"/>
              </w:rPr>
              <w:t>2.2. Pasivo Contingente</w:t>
            </w:r>
          </w:p>
        </w:tc>
        <w:tc>
          <w:tcPr>
            <w:tcW w:w="1007" w:type="dxa"/>
          </w:tcPr>
          <w:p w14:paraId="43453D4A" w14:textId="77777777" w:rsidR="004F153D" w:rsidRPr="00B601E5" w:rsidRDefault="004F153D"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sidRPr="00B601E5">
              <w:rPr>
                <w:rFonts w:cs="Arial"/>
                <w:b/>
              </w:rPr>
              <w:t>8</w:t>
            </w:r>
          </w:p>
        </w:tc>
      </w:tr>
      <w:tr w:rsidR="004F153D" w:rsidRPr="00B601E5" w14:paraId="49401FEC"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73847881" w14:textId="77777777" w:rsidR="004F153D" w:rsidRPr="00B601E5" w:rsidRDefault="004F153D" w:rsidP="004F153D">
            <w:pPr>
              <w:spacing w:after="200"/>
              <w:rPr>
                <w:rFonts w:cs="Arial"/>
                <w:b w:val="0"/>
              </w:rPr>
            </w:pPr>
            <w:r w:rsidRPr="00B601E5">
              <w:rPr>
                <w:rFonts w:cs="Arial"/>
              </w:rPr>
              <w:t>3. INFORME NACIONAL Y SECTORIAL GENERAL</w:t>
            </w:r>
          </w:p>
        </w:tc>
        <w:tc>
          <w:tcPr>
            <w:tcW w:w="1007" w:type="dxa"/>
          </w:tcPr>
          <w:p w14:paraId="3C0FE7E5" w14:textId="77777777" w:rsidR="004F153D" w:rsidRPr="00B601E5" w:rsidRDefault="004F153D"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sidRPr="00B601E5">
              <w:rPr>
                <w:rFonts w:cs="Arial"/>
                <w:b/>
              </w:rPr>
              <w:t>11</w:t>
            </w:r>
          </w:p>
        </w:tc>
      </w:tr>
      <w:tr w:rsidR="004F153D" w:rsidRPr="00B601E5" w14:paraId="11954486"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3C157182" w14:textId="77777777" w:rsidR="004F153D" w:rsidRPr="00B601E5" w:rsidRDefault="004F153D" w:rsidP="004F153D">
            <w:pPr>
              <w:spacing w:after="200"/>
              <w:jc w:val="both"/>
              <w:rPr>
                <w:rFonts w:cs="Arial"/>
                <w:b w:val="0"/>
              </w:rPr>
            </w:pPr>
            <w:r w:rsidRPr="00B601E5">
              <w:rPr>
                <w:rFonts w:cs="Arial"/>
              </w:rPr>
              <w:t>4. INFORME DE ACTIVIDAD LITIGIOSA SEGÚN CRITERIOS DEL ACUERDO 6 DEL CONSEJO DIRECTIVO</w:t>
            </w:r>
          </w:p>
        </w:tc>
        <w:tc>
          <w:tcPr>
            <w:tcW w:w="1007" w:type="dxa"/>
          </w:tcPr>
          <w:p w14:paraId="1DB05ABA" w14:textId="77777777" w:rsidR="004F153D" w:rsidRPr="00B601E5" w:rsidRDefault="004F153D"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sidRPr="00B601E5">
              <w:rPr>
                <w:rFonts w:cs="Arial"/>
                <w:b/>
              </w:rPr>
              <w:t>16</w:t>
            </w:r>
          </w:p>
        </w:tc>
      </w:tr>
      <w:tr w:rsidR="004F153D" w:rsidRPr="00B601E5" w14:paraId="2DD6C36B"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26728FF0" w14:textId="77777777" w:rsidR="004F153D" w:rsidRPr="00B601E5" w:rsidRDefault="004F153D" w:rsidP="004F153D">
            <w:pPr>
              <w:spacing w:after="200"/>
              <w:jc w:val="both"/>
              <w:rPr>
                <w:rFonts w:cs="Arial"/>
                <w:b w:val="0"/>
              </w:rPr>
            </w:pPr>
            <w:r w:rsidRPr="00B601E5">
              <w:rPr>
                <w:rFonts w:cs="Arial"/>
              </w:rPr>
              <w:t>4.1. Gestiones de la Dirección de Defensa Jurídica frente a los 25 procesos más cuantiosos para el Estado.</w:t>
            </w:r>
          </w:p>
        </w:tc>
        <w:tc>
          <w:tcPr>
            <w:tcW w:w="1007" w:type="dxa"/>
          </w:tcPr>
          <w:p w14:paraId="1408BA10" w14:textId="77777777" w:rsidR="004F153D" w:rsidRPr="00B601E5" w:rsidRDefault="004F153D"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sidRPr="00B601E5">
              <w:rPr>
                <w:rFonts w:cs="Arial"/>
                <w:b/>
              </w:rPr>
              <w:t>16</w:t>
            </w:r>
          </w:p>
        </w:tc>
      </w:tr>
      <w:tr w:rsidR="004F153D" w:rsidRPr="00B601E5" w14:paraId="3D2B4556"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23139DEA" w14:textId="77777777" w:rsidR="004F153D" w:rsidRPr="00B601E5" w:rsidRDefault="004F153D" w:rsidP="004F153D">
            <w:pPr>
              <w:spacing w:after="200"/>
              <w:rPr>
                <w:rFonts w:cs="Arial"/>
                <w:b w:val="0"/>
              </w:rPr>
            </w:pPr>
            <w:r w:rsidRPr="00B601E5">
              <w:rPr>
                <w:rFonts w:cs="Arial"/>
              </w:rPr>
              <w:t>4.1.1. Procesos finalizados</w:t>
            </w:r>
          </w:p>
        </w:tc>
        <w:tc>
          <w:tcPr>
            <w:tcW w:w="1007" w:type="dxa"/>
          </w:tcPr>
          <w:p w14:paraId="429DDCC5" w14:textId="77777777" w:rsidR="004F153D" w:rsidRPr="00B601E5" w:rsidRDefault="004F153D"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sidRPr="00B601E5">
              <w:rPr>
                <w:rFonts w:cs="Arial"/>
                <w:b/>
              </w:rPr>
              <w:t>16</w:t>
            </w:r>
          </w:p>
        </w:tc>
      </w:tr>
      <w:tr w:rsidR="004F153D" w:rsidRPr="00B601E5" w14:paraId="56819435"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400FD0EE" w14:textId="77777777" w:rsidR="004F153D" w:rsidRPr="00B601E5" w:rsidRDefault="004F153D" w:rsidP="004F153D">
            <w:pPr>
              <w:spacing w:after="200"/>
              <w:rPr>
                <w:rFonts w:cs="Arial"/>
                <w:b w:val="0"/>
              </w:rPr>
            </w:pPr>
            <w:r w:rsidRPr="00B601E5">
              <w:rPr>
                <w:rFonts w:cs="Arial"/>
              </w:rPr>
              <w:t>4.1.2. Procesos depurados</w:t>
            </w:r>
          </w:p>
        </w:tc>
        <w:tc>
          <w:tcPr>
            <w:tcW w:w="1007" w:type="dxa"/>
          </w:tcPr>
          <w:p w14:paraId="39CF0863" w14:textId="77777777" w:rsidR="004F153D" w:rsidRPr="00B601E5" w:rsidRDefault="004F153D"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sidRPr="00B601E5">
              <w:rPr>
                <w:rFonts w:cs="Arial"/>
                <w:b/>
              </w:rPr>
              <w:t>17</w:t>
            </w:r>
          </w:p>
        </w:tc>
      </w:tr>
      <w:tr w:rsidR="004F153D" w:rsidRPr="00B601E5" w14:paraId="6DC918E3"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441F91B7" w14:textId="77777777" w:rsidR="004F153D" w:rsidRPr="00B601E5" w:rsidRDefault="004F153D" w:rsidP="004F153D">
            <w:pPr>
              <w:spacing w:after="200"/>
              <w:rPr>
                <w:rFonts w:cs="Arial"/>
                <w:b w:val="0"/>
              </w:rPr>
            </w:pPr>
            <w:r w:rsidRPr="00B601E5">
              <w:rPr>
                <w:rFonts w:cs="Arial"/>
              </w:rPr>
              <w:t>4.1.2.1. Estudios Jurídicos</w:t>
            </w:r>
          </w:p>
        </w:tc>
        <w:tc>
          <w:tcPr>
            <w:tcW w:w="1007" w:type="dxa"/>
          </w:tcPr>
          <w:p w14:paraId="0A25F8DE" w14:textId="77777777" w:rsidR="004F153D" w:rsidRPr="00B601E5" w:rsidRDefault="004F153D"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sidRPr="00B601E5">
              <w:rPr>
                <w:rFonts w:cs="Arial"/>
                <w:b/>
              </w:rPr>
              <w:t>19</w:t>
            </w:r>
          </w:p>
        </w:tc>
      </w:tr>
      <w:tr w:rsidR="004F153D" w:rsidRPr="00B601E5" w14:paraId="5BF713D1"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56CCBE2A" w14:textId="77777777" w:rsidR="004F153D" w:rsidRPr="00B601E5" w:rsidRDefault="004F153D" w:rsidP="004F153D">
            <w:pPr>
              <w:spacing w:after="200"/>
              <w:rPr>
                <w:rFonts w:cs="Arial"/>
                <w:b w:val="0"/>
              </w:rPr>
            </w:pPr>
            <w:r w:rsidRPr="00B601E5">
              <w:rPr>
                <w:rFonts w:cs="Arial"/>
              </w:rPr>
              <w:t>4.1.2.2. Recomendaciones</w:t>
            </w:r>
          </w:p>
        </w:tc>
        <w:tc>
          <w:tcPr>
            <w:tcW w:w="1007" w:type="dxa"/>
          </w:tcPr>
          <w:p w14:paraId="07A83B49" w14:textId="77777777" w:rsidR="004F153D" w:rsidRPr="00B601E5" w:rsidRDefault="004F153D"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sidRPr="00B601E5">
              <w:rPr>
                <w:rFonts w:cs="Arial"/>
                <w:b/>
              </w:rPr>
              <w:t>19</w:t>
            </w:r>
          </w:p>
        </w:tc>
      </w:tr>
      <w:tr w:rsidR="004F153D" w:rsidRPr="00B601E5" w14:paraId="694C44CF"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30C030E3" w14:textId="77777777" w:rsidR="004F153D" w:rsidRPr="00B601E5" w:rsidRDefault="004F153D" w:rsidP="004F153D">
            <w:pPr>
              <w:spacing w:after="200"/>
              <w:rPr>
                <w:rFonts w:cs="Arial"/>
                <w:b w:val="0"/>
              </w:rPr>
            </w:pPr>
            <w:r w:rsidRPr="00B601E5">
              <w:rPr>
                <w:rFonts w:cs="Arial"/>
              </w:rPr>
              <w:t>4.1.2.3 Mesas Interinstitucionales</w:t>
            </w:r>
          </w:p>
        </w:tc>
        <w:tc>
          <w:tcPr>
            <w:tcW w:w="1007" w:type="dxa"/>
          </w:tcPr>
          <w:p w14:paraId="582046E3" w14:textId="77777777" w:rsidR="004F153D" w:rsidRPr="00B601E5" w:rsidRDefault="004F153D"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sidRPr="00B601E5">
              <w:rPr>
                <w:rFonts w:cs="Arial"/>
                <w:b/>
              </w:rPr>
              <w:t>19</w:t>
            </w:r>
          </w:p>
        </w:tc>
      </w:tr>
      <w:tr w:rsidR="004F153D" w:rsidRPr="00B601E5" w14:paraId="42C254D9"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2DF8AAF1" w14:textId="77777777" w:rsidR="004F153D" w:rsidRPr="00B601E5" w:rsidRDefault="004F153D" w:rsidP="004F153D">
            <w:pPr>
              <w:spacing w:after="200"/>
              <w:rPr>
                <w:rFonts w:cs="Arial"/>
                <w:b w:val="0"/>
              </w:rPr>
            </w:pPr>
            <w:r w:rsidRPr="00B601E5">
              <w:rPr>
                <w:rFonts w:cs="Arial"/>
              </w:rPr>
              <w:t xml:space="preserve">4.1.2.4. Intervención Procesal </w:t>
            </w:r>
          </w:p>
        </w:tc>
        <w:tc>
          <w:tcPr>
            <w:tcW w:w="1007" w:type="dxa"/>
          </w:tcPr>
          <w:p w14:paraId="37C2AF0D" w14:textId="77777777" w:rsidR="004F153D" w:rsidRPr="00B601E5" w:rsidRDefault="004F153D"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sidRPr="00B601E5">
              <w:rPr>
                <w:rFonts w:cs="Arial"/>
                <w:b/>
              </w:rPr>
              <w:t>20</w:t>
            </w:r>
          </w:p>
        </w:tc>
      </w:tr>
      <w:tr w:rsidR="004F153D" w:rsidRPr="00B601E5" w14:paraId="2AB0CC6B"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343DDB7B" w14:textId="77777777" w:rsidR="004F153D" w:rsidRPr="00B601E5" w:rsidRDefault="004F153D" w:rsidP="004F153D">
            <w:pPr>
              <w:spacing w:after="200"/>
              <w:rPr>
                <w:rFonts w:cs="Arial"/>
                <w:b w:val="0"/>
              </w:rPr>
            </w:pPr>
            <w:r w:rsidRPr="00B601E5">
              <w:rPr>
                <w:rFonts w:cs="Arial"/>
              </w:rPr>
              <w:t>4.1.3 Resumen de la Intervención de la Agencia en los 25 procesos más costosos</w:t>
            </w:r>
          </w:p>
        </w:tc>
        <w:tc>
          <w:tcPr>
            <w:tcW w:w="1007" w:type="dxa"/>
          </w:tcPr>
          <w:p w14:paraId="4419BE92" w14:textId="77777777" w:rsidR="004F153D" w:rsidRPr="00B601E5" w:rsidRDefault="004F153D"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sidRPr="00B601E5">
              <w:rPr>
                <w:rFonts w:cs="Arial"/>
                <w:b/>
              </w:rPr>
              <w:t>20</w:t>
            </w:r>
          </w:p>
        </w:tc>
      </w:tr>
      <w:tr w:rsidR="004F153D" w:rsidRPr="00B601E5" w14:paraId="43AC0739"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5B9EF57E" w14:textId="77777777" w:rsidR="004F153D" w:rsidRPr="00B601E5" w:rsidRDefault="004F153D" w:rsidP="004F153D">
            <w:pPr>
              <w:spacing w:after="200"/>
              <w:rPr>
                <w:rFonts w:cs="Arial"/>
                <w:b w:val="0"/>
              </w:rPr>
            </w:pPr>
            <w:r w:rsidRPr="00B601E5">
              <w:rPr>
                <w:rFonts w:cs="Arial"/>
              </w:rPr>
              <w:t>4.1.4. Análisis de riesgo de condena de los 25 procesos más costosos</w:t>
            </w:r>
          </w:p>
        </w:tc>
        <w:tc>
          <w:tcPr>
            <w:tcW w:w="1007" w:type="dxa"/>
          </w:tcPr>
          <w:p w14:paraId="7C3CCDB1" w14:textId="77777777" w:rsidR="004F153D" w:rsidRPr="00B601E5" w:rsidRDefault="004F153D"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sidRPr="00B601E5">
              <w:rPr>
                <w:rFonts w:cs="Arial"/>
                <w:b/>
              </w:rPr>
              <w:t>21</w:t>
            </w:r>
          </w:p>
        </w:tc>
      </w:tr>
      <w:tr w:rsidR="004F153D" w:rsidRPr="00B601E5" w14:paraId="5BBA19C9"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399DDC5D" w14:textId="77777777" w:rsidR="004F153D" w:rsidRPr="00B601E5" w:rsidRDefault="004F153D" w:rsidP="004F153D">
            <w:pPr>
              <w:spacing w:after="200"/>
              <w:jc w:val="both"/>
              <w:rPr>
                <w:rFonts w:cs="Arial"/>
                <w:b w:val="0"/>
              </w:rPr>
            </w:pPr>
            <w:r w:rsidRPr="00B601E5">
              <w:rPr>
                <w:rFonts w:cs="Arial"/>
              </w:rPr>
              <w:t>4.2 Gestiones de la Dirección de Defensa Jurídica en los procesos de más de 20.000 millones</w:t>
            </w:r>
          </w:p>
        </w:tc>
        <w:tc>
          <w:tcPr>
            <w:tcW w:w="1007" w:type="dxa"/>
          </w:tcPr>
          <w:p w14:paraId="781BC0A3" w14:textId="77777777" w:rsidR="004F153D" w:rsidRPr="00B601E5" w:rsidRDefault="004F153D"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sidRPr="00B601E5">
              <w:rPr>
                <w:rFonts w:cs="Arial"/>
                <w:b/>
              </w:rPr>
              <w:t>24</w:t>
            </w:r>
          </w:p>
        </w:tc>
      </w:tr>
      <w:tr w:rsidR="004F153D" w:rsidRPr="00B601E5" w14:paraId="15A90B75"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0D7C1581" w14:textId="77777777" w:rsidR="004F153D" w:rsidRPr="00B601E5" w:rsidRDefault="004F153D" w:rsidP="004F153D">
            <w:pPr>
              <w:spacing w:after="200"/>
              <w:rPr>
                <w:rFonts w:cs="Arial"/>
                <w:b w:val="0"/>
              </w:rPr>
            </w:pPr>
            <w:r w:rsidRPr="00B601E5">
              <w:rPr>
                <w:rFonts w:cs="Arial"/>
              </w:rPr>
              <w:t>4.2.1 Intervención Procesal</w:t>
            </w:r>
          </w:p>
        </w:tc>
        <w:tc>
          <w:tcPr>
            <w:tcW w:w="1007" w:type="dxa"/>
          </w:tcPr>
          <w:p w14:paraId="6C51B566" w14:textId="5D03B6EC" w:rsidR="004F153D" w:rsidRPr="00B601E5" w:rsidRDefault="00BF1F8F"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25</w:t>
            </w:r>
          </w:p>
        </w:tc>
      </w:tr>
      <w:tr w:rsidR="004F153D" w:rsidRPr="00B601E5" w14:paraId="01EF6C07"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112955A8" w14:textId="77777777" w:rsidR="004F153D" w:rsidRPr="00B601E5" w:rsidRDefault="004F153D" w:rsidP="004F153D">
            <w:pPr>
              <w:spacing w:after="200"/>
              <w:rPr>
                <w:rFonts w:cs="Arial"/>
                <w:b w:val="0"/>
              </w:rPr>
            </w:pPr>
            <w:r w:rsidRPr="00B601E5">
              <w:rPr>
                <w:rFonts w:cs="Arial"/>
              </w:rPr>
              <w:t xml:space="preserve">4.2.2. Coordinación de la Defensa </w:t>
            </w:r>
          </w:p>
        </w:tc>
        <w:tc>
          <w:tcPr>
            <w:tcW w:w="1007" w:type="dxa"/>
          </w:tcPr>
          <w:p w14:paraId="79C7D2D0" w14:textId="3543811E" w:rsidR="004F153D" w:rsidRPr="00B601E5" w:rsidRDefault="00BF1F8F"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Pr>
                <w:rFonts w:cs="Arial"/>
                <w:b/>
              </w:rPr>
              <w:t>25</w:t>
            </w:r>
          </w:p>
        </w:tc>
      </w:tr>
      <w:tr w:rsidR="004F153D" w:rsidRPr="00B601E5" w14:paraId="75ED6EF6"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591002C3" w14:textId="77777777" w:rsidR="004F153D" w:rsidRPr="00B601E5" w:rsidRDefault="004F153D" w:rsidP="004F153D">
            <w:pPr>
              <w:spacing w:after="200"/>
              <w:rPr>
                <w:rFonts w:cs="Arial"/>
                <w:b w:val="0"/>
              </w:rPr>
            </w:pPr>
            <w:r w:rsidRPr="00B601E5">
              <w:rPr>
                <w:rFonts w:cs="Arial"/>
              </w:rPr>
              <w:t>4.3 Promoción de MASC</w:t>
            </w:r>
          </w:p>
        </w:tc>
        <w:tc>
          <w:tcPr>
            <w:tcW w:w="1007" w:type="dxa"/>
          </w:tcPr>
          <w:p w14:paraId="5646D1DA" w14:textId="667F1679" w:rsidR="004F153D" w:rsidRPr="00B601E5" w:rsidRDefault="00BF1F8F"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25</w:t>
            </w:r>
          </w:p>
        </w:tc>
      </w:tr>
      <w:tr w:rsidR="004F153D" w:rsidRPr="00B601E5" w14:paraId="071C8556"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30C6BA3F" w14:textId="77777777" w:rsidR="004F153D" w:rsidRPr="00B601E5" w:rsidRDefault="004F153D" w:rsidP="004F153D">
            <w:pPr>
              <w:spacing w:after="200"/>
              <w:rPr>
                <w:rFonts w:cs="Arial"/>
                <w:b w:val="0"/>
              </w:rPr>
            </w:pPr>
            <w:r w:rsidRPr="00B601E5">
              <w:rPr>
                <w:rFonts w:cs="Arial"/>
              </w:rPr>
              <w:lastRenderedPageBreak/>
              <w:t>4.4. Protocolos de Defensa</w:t>
            </w:r>
          </w:p>
        </w:tc>
        <w:tc>
          <w:tcPr>
            <w:tcW w:w="1007" w:type="dxa"/>
          </w:tcPr>
          <w:p w14:paraId="52E3C57F" w14:textId="4A60A2FB" w:rsidR="004F153D" w:rsidRPr="00B601E5" w:rsidRDefault="00BF1F8F"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Pr>
                <w:rFonts w:cs="Arial"/>
                <w:b/>
              </w:rPr>
              <w:t>25</w:t>
            </w:r>
          </w:p>
        </w:tc>
      </w:tr>
      <w:tr w:rsidR="004F153D" w:rsidRPr="00B601E5" w14:paraId="57A58C4F"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6C33F2CE" w14:textId="77777777" w:rsidR="004F153D" w:rsidRPr="00B601E5" w:rsidRDefault="004F153D" w:rsidP="004F153D">
            <w:pPr>
              <w:spacing w:after="200"/>
              <w:rPr>
                <w:rFonts w:cs="Arial"/>
                <w:b w:val="0"/>
              </w:rPr>
            </w:pPr>
            <w:r w:rsidRPr="00B601E5">
              <w:rPr>
                <w:rFonts w:cs="Arial"/>
              </w:rPr>
              <w:t>4.5 Distribución de Procesos por Sector y Cuantía</w:t>
            </w:r>
          </w:p>
        </w:tc>
        <w:tc>
          <w:tcPr>
            <w:tcW w:w="1007" w:type="dxa"/>
          </w:tcPr>
          <w:p w14:paraId="1FF6BC61" w14:textId="77777777" w:rsidR="004F153D" w:rsidRPr="00B601E5" w:rsidRDefault="004F153D"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sidRPr="00B601E5">
              <w:rPr>
                <w:rFonts w:cs="Arial"/>
                <w:b/>
              </w:rPr>
              <w:t>25</w:t>
            </w:r>
          </w:p>
        </w:tc>
      </w:tr>
      <w:tr w:rsidR="004F153D" w:rsidRPr="00B601E5" w14:paraId="405BE8E8"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05049FF3" w14:textId="77777777" w:rsidR="004F153D" w:rsidRPr="00B601E5" w:rsidRDefault="004F153D" w:rsidP="004F153D">
            <w:pPr>
              <w:spacing w:after="200"/>
              <w:rPr>
                <w:rFonts w:cs="Arial"/>
                <w:b w:val="0"/>
              </w:rPr>
            </w:pPr>
            <w:r w:rsidRPr="00B601E5">
              <w:rPr>
                <w:rFonts w:cs="Arial"/>
              </w:rPr>
              <w:t>4.6. Recuperación de Dineros</w:t>
            </w:r>
          </w:p>
        </w:tc>
        <w:tc>
          <w:tcPr>
            <w:tcW w:w="1007" w:type="dxa"/>
          </w:tcPr>
          <w:p w14:paraId="1D78DA50" w14:textId="79CBF6F8" w:rsidR="004F153D" w:rsidRPr="00B601E5" w:rsidRDefault="00B75CB1"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Pr>
                <w:rFonts w:cs="Arial"/>
                <w:b/>
              </w:rPr>
              <w:t>27</w:t>
            </w:r>
          </w:p>
        </w:tc>
      </w:tr>
      <w:tr w:rsidR="004F153D" w:rsidRPr="00B601E5" w14:paraId="29091988"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2102EED0" w14:textId="77777777" w:rsidR="004F153D" w:rsidRPr="00B601E5" w:rsidRDefault="004F153D" w:rsidP="004F153D">
            <w:pPr>
              <w:spacing w:after="200"/>
              <w:rPr>
                <w:rFonts w:cs="Arial"/>
                <w:b w:val="0"/>
              </w:rPr>
            </w:pPr>
            <w:r w:rsidRPr="00B601E5">
              <w:rPr>
                <w:rFonts w:cs="Arial"/>
              </w:rPr>
              <w:t>4.7. Gestiones de Coordinación en temas neurálgicos</w:t>
            </w:r>
          </w:p>
        </w:tc>
        <w:tc>
          <w:tcPr>
            <w:tcW w:w="1007" w:type="dxa"/>
          </w:tcPr>
          <w:p w14:paraId="089075EF" w14:textId="2F04B549" w:rsidR="004F153D" w:rsidRPr="00B601E5" w:rsidRDefault="00B75CB1"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28</w:t>
            </w:r>
          </w:p>
        </w:tc>
      </w:tr>
      <w:tr w:rsidR="004F153D" w:rsidRPr="00B601E5" w14:paraId="247214DA"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5D2549BA" w14:textId="77777777" w:rsidR="004F153D" w:rsidRPr="00B601E5" w:rsidRDefault="004F153D" w:rsidP="004F153D">
            <w:pPr>
              <w:spacing w:after="200"/>
              <w:rPr>
                <w:rFonts w:cs="Arial"/>
                <w:b w:val="0"/>
              </w:rPr>
            </w:pPr>
            <w:r w:rsidRPr="00B601E5">
              <w:rPr>
                <w:rFonts w:cs="Arial"/>
              </w:rPr>
              <w:t>5.INFORME DE GESTIONES DE DEFENSA EN ASUNTOS INTERNACIONALES</w:t>
            </w:r>
          </w:p>
        </w:tc>
        <w:tc>
          <w:tcPr>
            <w:tcW w:w="1007" w:type="dxa"/>
          </w:tcPr>
          <w:p w14:paraId="7A8A3DCF" w14:textId="67A9D5A3" w:rsidR="004F153D" w:rsidRPr="00B601E5" w:rsidRDefault="00B75CB1"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Pr>
                <w:rFonts w:cs="Arial"/>
                <w:b/>
              </w:rPr>
              <w:t>32</w:t>
            </w:r>
          </w:p>
        </w:tc>
      </w:tr>
      <w:tr w:rsidR="004F153D" w:rsidRPr="00B601E5" w14:paraId="4B739A40" w14:textId="77777777" w:rsidTr="00AC513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8060" w:type="dxa"/>
          </w:tcPr>
          <w:p w14:paraId="4796C357" w14:textId="77777777" w:rsidR="004F153D" w:rsidRPr="00B601E5" w:rsidRDefault="004F153D" w:rsidP="004F153D">
            <w:pPr>
              <w:spacing w:after="200"/>
              <w:rPr>
                <w:rFonts w:cs="Arial"/>
                <w:b w:val="0"/>
              </w:rPr>
            </w:pPr>
            <w:r w:rsidRPr="00B601E5">
              <w:rPr>
                <w:rFonts w:cs="Arial"/>
              </w:rPr>
              <w:t>6. INFORME SOBRE EL COMPORTAMIENTO DE LA CONCILIACIÓN EXTRAJUDICIAL</w:t>
            </w:r>
          </w:p>
        </w:tc>
        <w:tc>
          <w:tcPr>
            <w:tcW w:w="1007" w:type="dxa"/>
          </w:tcPr>
          <w:p w14:paraId="7DD0B9C4" w14:textId="36BC1935" w:rsidR="004F153D" w:rsidRPr="00B601E5" w:rsidRDefault="00B75CB1"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35</w:t>
            </w:r>
          </w:p>
        </w:tc>
      </w:tr>
      <w:tr w:rsidR="004F153D" w:rsidRPr="00B601E5" w14:paraId="3C9F3B57"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2CF16171" w14:textId="77777777" w:rsidR="004F153D" w:rsidRPr="00B601E5" w:rsidRDefault="004F153D" w:rsidP="004F153D">
            <w:pPr>
              <w:spacing w:after="200"/>
              <w:rPr>
                <w:rFonts w:cs="Arial"/>
                <w:b w:val="0"/>
              </w:rPr>
            </w:pPr>
            <w:r w:rsidRPr="00B601E5">
              <w:rPr>
                <w:rFonts w:cs="Arial"/>
              </w:rPr>
              <w:t>7. ACCIONES ADOPTADAS POR LA AGENCIA QUE CONTRIBUYEN A REDUCIR LAS  DEMANDAS EN CONTRA DEL ESTADO Y EL IMPACTO FISCAL DE LAS CONDENAS</w:t>
            </w:r>
          </w:p>
        </w:tc>
        <w:tc>
          <w:tcPr>
            <w:tcW w:w="1007" w:type="dxa"/>
          </w:tcPr>
          <w:p w14:paraId="4333FDDF" w14:textId="07F8BDFB" w:rsidR="004F153D" w:rsidRPr="00B601E5" w:rsidRDefault="00B75CB1"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Pr>
                <w:rFonts w:cs="Arial"/>
                <w:b/>
              </w:rPr>
              <w:t>38</w:t>
            </w:r>
          </w:p>
        </w:tc>
      </w:tr>
      <w:tr w:rsidR="004F153D" w:rsidRPr="00B601E5" w14:paraId="3571D55B"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43B43E97" w14:textId="77777777" w:rsidR="004F153D" w:rsidRPr="00B601E5" w:rsidRDefault="004F153D" w:rsidP="004F153D">
            <w:pPr>
              <w:spacing w:after="200"/>
              <w:rPr>
                <w:rFonts w:cs="Arial"/>
                <w:b w:val="0"/>
              </w:rPr>
            </w:pPr>
            <w:r w:rsidRPr="00B601E5">
              <w:rPr>
                <w:rFonts w:cs="Arial"/>
              </w:rPr>
              <w:t>7.1Marco de instrumentos legales, operacionales y misionales para el actuar de la Agencia</w:t>
            </w:r>
          </w:p>
        </w:tc>
        <w:tc>
          <w:tcPr>
            <w:tcW w:w="1007" w:type="dxa"/>
          </w:tcPr>
          <w:p w14:paraId="74D1F35B" w14:textId="5B456F88" w:rsidR="004F153D" w:rsidRPr="00B601E5" w:rsidRDefault="00B75CB1"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38</w:t>
            </w:r>
          </w:p>
        </w:tc>
      </w:tr>
      <w:tr w:rsidR="004F153D" w:rsidRPr="00B601E5" w14:paraId="0178BE7E" w14:textId="77777777" w:rsidTr="00AC513A">
        <w:tc>
          <w:tcPr>
            <w:cnfStyle w:val="001000000000" w:firstRow="0" w:lastRow="0" w:firstColumn="1" w:lastColumn="0" w:oddVBand="0" w:evenVBand="0" w:oddHBand="0" w:evenHBand="0" w:firstRowFirstColumn="0" w:firstRowLastColumn="0" w:lastRowFirstColumn="0" w:lastRowLastColumn="0"/>
            <w:tcW w:w="8060" w:type="dxa"/>
          </w:tcPr>
          <w:p w14:paraId="6B12E217" w14:textId="77777777" w:rsidR="004F153D" w:rsidRPr="00B601E5" w:rsidRDefault="004F153D" w:rsidP="004F153D">
            <w:pPr>
              <w:spacing w:after="200"/>
              <w:rPr>
                <w:rFonts w:cs="Arial"/>
                <w:b w:val="0"/>
              </w:rPr>
            </w:pPr>
            <w:r w:rsidRPr="00B601E5">
              <w:rPr>
                <w:rFonts w:cs="Arial"/>
              </w:rPr>
              <w:t>7.2.  Logros y avances para la gestión de la defensa jurídica del Estado</w:t>
            </w:r>
          </w:p>
        </w:tc>
        <w:tc>
          <w:tcPr>
            <w:tcW w:w="1007" w:type="dxa"/>
          </w:tcPr>
          <w:p w14:paraId="4E788AFC" w14:textId="2719223E" w:rsidR="004F153D" w:rsidRPr="00B601E5" w:rsidRDefault="00B75CB1" w:rsidP="00B601E5">
            <w:pPr>
              <w:spacing w:after="200"/>
              <w:jc w:val="center"/>
              <w:cnfStyle w:val="000000000000" w:firstRow="0" w:lastRow="0" w:firstColumn="0" w:lastColumn="0" w:oddVBand="0" w:evenVBand="0" w:oddHBand="0" w:evenHBand="0" w:firstRowFirstColumn="0" w:firstRowLastColumn="0" w:lastRowFirstColumn="0" w:lastRowLastColumn="0"/>
              <w:rPr>
                <w:rFonts w:cs="Arial"/>
                <w:b/>
              </w:rPr>
            </w:pPr>
            <w:r>
              <w:rPr>
                <w:rFonts w:cs="Arial"/>
                <w:b/>
              </w:rPr>
              <w:t>39</w:t>
            </w:r>
          </w:p>
        </w:tc>
      </w:tr>
      <w:tr w:rsidR="004F153D" w:rsidRPr="00B601E5" w14:paraId="6E139999" w14:textId="77777777" w:rsidTr="00AC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0" w:type="dxa"/>
          </w:tcPr>
          <w:p w14:paraId="10308C31" w14:textId="77777777" w:rsidR="004F153D" w:rsidRPr="00B601E5" w:rsidRDefault="004F153D" w:rsidP="004F153D">
            <w:pPr>
              <w:spacing w:after="200"/>
              <w:rPr>
                <w:rFonts w:cs="Arial"/>
                <w:b w:val="0"/>
              </w:rPr>
            </w:pPr>
            <w:r w:rsidRPr="00B601E5">
              <w:rPr>
                <w:rFonts w:cs="Arial"/>
              </w:rPr>
              <w:t>7.3.  Optimización de la gestión del ciclo de defensa jurídica</w:t>
            </w:r>
          </w:p>
        </w:tc>
        <w:tc>
          <w:tcPr>
            <w:tcW w:w="1007" w:type="dxa"/>
          </w:tcPr>
          <w:p w14:paraId="317EF1EB" w14:textId="5995CFFE" w:rsidR="004F153D" w:rsidRPr="00B601E5" w:rsidRDefault="00B75CB1" w:rsidP="00B601E5">
            <w:pPr>
              <w:spacing w:after="200"/>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44</w:t>
            </w:r>
          </w:p>
        </w:tc>
      </w:tr>
    </w:tbl>
    <w:p w14:paraId="00F8873F" w14:textId="77777777" w:rsidR="004F153D" w:rsidRPr="00B601E5" w:rsidRDefault="004F153D" w:rsidP="004F153D">
      <w:pPr>
        <w:rPr>
          <w:rFonts w:cs="Arial"/>
          <w:b/>
          <w:sz w:val="22"/>
          <w:szCs w:val="22"/>
          <w:lang w:val="es-CO"/>
        </w:rPr>
      </w:pPr>
    </w:p>
    <w:p w14:paraId="5969331C" w14:textId="77777777" w:rsidR="004F153D" w:rsidRPr="00B601E5" w:rsidRDefault="004F153D" w:rsidP="004F153D">
      <w:pPr>
        <w:rPr>
          <w:rFonts w:cs="Arial"/>
          <w:b/>
          <w:sz w:val="22"/>
          <w:szCs w:val="22"/>
          <w:lang w:val="es-CO"/>
        </w:rPr>
      </w:pPr>
      <w:r w:rsidRPr="00B601E5">
        <w:rPr>
          <w:rFonts w:cs="Arial"/>
          <w:b/>
          <w:sz w:val="22"/>
          <w:szCs w:val="22"/>
          <w:lang w:val="es-CO"/>
        </w:rPr>
        <w:t xml:space="preserve">ANEXOS </w:t>
      </w:r>
    </w:p>
    <w:p w14:paraId="33DA8DFE" w14:textId="77777777" w:rsidR="004F153D" w:rsidRPr="00B601E5" w:rsidRDefault="004F153D" w:rsidP="00B601E5">
      <w:pPr>
        <w:jc w:val="both"/>
        <w:rPr>
          <w:rFonts w:cs="Arial"/>
          <w:sz w:val="22"/>
          <w:szCs w:val="22"/>
        </w:rPr>
      </w:pPr>
      <w:r w:rsidRPr="00B601E5">
        <w:rPr>
          <w:rFonts w:cs="Arial"/>
          <w:b/>
          <w:sz w:val="22"/>
          <w:szCs w:val="22"/>
        </w:rPr>
        <w:t xml:space="preserve">Anexo 1: </w:t>
      </w:r>
      <w:r w:rsidRPr="00B601E5">
        <w:rPr>
          <w:rFonts w:cs="Arial"/>
          <w:sz w:val="22"/>
          <w:szCs w:val="22"/>
        </w:rPr>
        <w:t>Relación de las funciones de la Agencia Nacional de Defensa Jurídica del Estado.</w:t>
      </w:r>
    </w:p>
    <w:p w14:paraId="62861FE4" w14:textId="77777777" w:rsidR="004F153D" w:rsidRPr="00B601E5" w:rsidRDefault="004F153D" w:rsidP="00B601E5">
      <w:pPr>
        <w:jc w:val="both"/>
        <w:rPr>
          <w:rFonts w:cs="Arial"/>
          <w:b/>
          <w:sz w:val="22"/>
          <w:szCs w:val="22"/>
        </w:rPr>
      </w:pPr>
      <w:r w:rsidRPr="00B601E5">
        <w:rPr>
          <w:rFonts w:cs="Arial"/>
          <w:b/>
          <w:sz w:val="22"/>
          <w:szCs w:val="22"/>
        </w:rPr>
        <w:t xml:space="preserve">Anexo 2: </w:t>
      </w:r>
      <w:r w:rsidRPr="00B601E5">
        <w:rPr>
          <w:rFonts w:cs="Arial"/>
          <w:sz w:val="22"/>
          <w:szCs w:val="22"/>
        </w:rPr>
        <w:t xml:space="preserve">Tabla 1 y 2 consolidadas </w:t>
      </w:r>
      <w:r w:rsidR="00B601E5">
        <w:rPr>
          <w:rFonts w:cs="Arial"/>
          <w:sz w:val="22"/>
          <w:szCs w:val="22"/>
        </w:rPr>
        <w:t>p</w:t>
      </w:r>
      <w:r w:rsidRPr="00B601E5">
        <w:rPr>
          <w:rFonts w:cs="Arial"/>
          <w:sz w:val="22"/>
          <w:szCs w:val="22"/>
        </w:rPr>
        <w:t>ara cada uno de los 33 Sectores Administrativos</w:t>
      </w:r>
    </w:p>
    <w:p w14:paraId="4E8246C4" w14:textId="77777777" w:rsidR="004F153D" w:rsidRPr="00B601E5" w:rsidRDefault="004F153D" w:rsidP="00B601E5">
      <w:pPr>
        <w:jc w:val="both"/>
        <w:rPr>
          <w:rFonts w:cs="Arial"/>
          <w:sz w:val="22"/>
          <w:szCs w:val="22"/>
        </w:rPr>
      </w:pPr>
      <w:r w:rsidRPr="00B601E5">
        <w:rPr>
          <w:rFonts w:cs="Arial"/>
          <w:b/>
          <w:sz w:val="22"/>
          <w:szCs w:val="22"/>
        </w:rPr>
        <w:t xml:space="preserve">Anexo 3: </w:t>
      </w:r>
      <w:r w:rsidRPr="00B601E5">
        <w:rPr>
          <w:rFonts w:cs="Arial"/>
          <w:sz w:val="22"/>
          <w:szCs w:val="22"/>
        </w:rPr>
        <w:t>Intervención Procesal</w:t>
      </w:r>
    </w:p>
    <w:p w14:paraId="76E1BE58" w14:textId="77777777" w:rsidR="004F153D" w:rsidRPr="00B601E5" w:rsidRDefault="004F153D" w:rsidP="00B601E5">
      <w:pPr>
        <w:jc w:val="both"/>
        <w:rPr>
          <w:rFonts w:cs="Arial"/>
          <w:sz w:val="22"/>
          <w:szCs w:val="22"/>
        </w:rPr>
      </w:pPr>
      <w:r w:rsidRPr="00B601E5">
        <w:rPr>
          <w:rFonts w:cs="Arial"/>
          <w:b/>
          <w:sz w:val="22"/>
          <w:szCs w:val="22"/>
        </w:rPr>
        <w:t xml:space="preserve">Anexo 4: </w:t>
      </w:r>
      <w:r w:rsidRPr="00B601E5">
        <w:rPr>
          <w:rFonts w:cs="Arial"/>
          <w:sz w:val="22"/>
          <w:szCs w:val="22"/>
        </w:rPr>
        <w:t>Coordinación de Defensa</w:t>
      </w:r>
    </w:p>
    <w:p w14:paraId="4D501A72" w14:textId="77777777" w:rsidR="004F153D" w:rsidRDefault="004F153D" w:rsidP="00B601E5">
      <w:pPr>
        <w:jc w:val="both"/>
        <w:rPr>
          <w:rFonts w:cs="Arial"/>
          <w:sz w:val="22"/>
          <w:szCs w:val="22"/>
          <w:lang w:val="es-CO"/>
        </w:rPr>
      </w:pPr>
      <w:r w:rsidRPr="00B601E5">
        <w:rPr>
          <w:rFonts w:cs="Arial"/>
          <w:b/>
          <w:sz w:val="22"/>
          <w:szCs w:val="22"/>
          <w:lang w:val="es-CO"/>
        </w:rPr>
        <w:t xml:space="preserve">Anexo 5: </w:t>
      </w:r>
      <w:r w:rsidRPr="00B601E5">
        <w:rPr>
          <w:rFonts w:cs="Arial"/>
          <w:sz w:val="22"/>
          <w:szCs w:val="22"/>
          <w:lang w:val="es-CO"/>
        </w:rPr>
        <w:t>Promoción MASC</w:t>
      </w:r>
    </w:p>
    <w:p w14:paraId="15137796" w14:textId="77777777" w:rsidR="00B601E5" w:rsidRPr="00B601E5" w:rsidRDefault="00B601E5" w:rsidP="00B601E5">
      <w:pPr>
        <w:jc w:val="both"/>
        <w:rPr>
          <w:rFonts w:cs="Arial"/>
          <w:sz w:val="22"/>
          <w:szCs w:val="22"/>
          <w:lang w:val="es-CO"/>
        </w:rPr>
      </w:pPr>
    </w:p>
    <w:p w14:paraId="26DF65BF" w14:textId="77777777" w:rsidR="004F153D" w:rsidRPr="00B601E5" w:rsidRDefault="004F153D" w:rsidP="004F153D">
      <w:pPr>
        <w:rPr>
          <w:rFonts w:cs="Arial"/>
          <w:b/>
          <w:sz w:val="22"/>
          <w:szCs w:val="22"/>
        </w:rPr>
      </w:pPr>
      <w:r w:rsidRPr="00B601E5">
        <w:rPr>
          <w:rFonts w:cs="Arial"/>
          <w:b/>
          <w:sz w:val="22"/>
          <w:szCs w:val="22"/>
        </w:rPr>
        <w:t>LISTAS ESPECIALES</w:t>
      </w:r>
    </w:p>
    <w:p w14:paraId="634F2953" w14:textId="77777777" w:rsidR="004F153D" w:rsidRPr="00B601E5" w:rsidRDefault="004F153D" w:rsidP="004F153D">
      <w:pPr>
        <w:rPr>
          <w:rFonts w:cs="Arial"/>
          <w:b/>
          <w:sz w:val="22"/>
          <w:szCs w:val="22"/>
        </w:rPr>
        <w:sectPr w:rsidR="004F153D" w:rsidRPr="00B601E5" w:rsidSect="00D85EB8">
          <w:headerReference w:type="default" r:id="rId9"/>
          <w:footerReference w:type="default" r:id="rId10"/>
          <w:pgSz w:w="12240" w:h="15840" w:code="1"/>
          <w:pgMar w:top="0" w:right="1701" w:bottom="1418" w:left="1701" w:header="709" w:footer="709" w:gutter="0"/>
          <w:pgNumType w:start="0"/>
          <w:cols w:space="708"/>
          <w:titlePg/>
          <w:docGrid w:linePitch="326"/>
        </w:sectPr>
      </w:pPr>
      <w:r w:rsidRPr="00B601E5">
        <w:rPr>
          <w:rFonts w:cs="Arial"/>
          <w:b/>
          <w:sz w:val="22"/>
          <w:szCs w:val="22"/>
        </w:rPr>
        <w:t>Tablas</w:t>
      </w:r>
      <w:r w:rsidR="00B601E5">
        <w:rPr>
          <w:rFonts w:cs="Arial"/>
          <w:b/>
          <w:sz w:val="22"/>
          <w:szCs w:val="22"/>
        </w:rPr>
        <w:t xml:space="preserve"> y Gráficos</w:t>
      </w:r>
    </w:p>
    <w:p w14:paraId="6EF1464B" w14:textId="77777777" w:rsidR="007B5921" w:rsidRPr="003B41C3" w:rsidRDefault="007B5921" w:rsidP="00270F3C">
      <w:pPr>
        <w:ind w:right="-283"/>
        <w:jc w:val="center"/>
        <w:rPr>
          <w:rFonts w:cs="Arial"/>
          <w:b/>
          <w:lang w:val="es-ES"/>
        </w:rPr>
      </w:pPr>
      <w:bookmarkStart w:id="0" w:name="_GoBack"/>
      <w:bookmarkEnd w:id="0"/>
    </w:p>
    <w:p w14:paraId="39228FBA" w14:textId="77777777" w:rsidR="00831FD5" w:rsidRPr="007B5921" w:rsidRDefault="00510AD5" w:rsidP="00270F3C">
      <w:pPr>
        <w:ind w:right="-283"/>
        <w:jc w:val="center"/>
        <w:rPr>
          <w:rFonts w:cs="Arial"/>
          <w:b/>
          <w:sz w:val="28"/>
          <w:szCs w:val="28"/>
        </w:rPr>
      </w:pPr>
      <w:r w:rsidRPr="007B5921">
        <w:rPr>
          <w:rFonts w:cs="Arial"/>
          <w:b/>
          <w:sz w:val="28"/>
          <w:szCs w:val="28"/>
        </w:rPr>
        <w:t xml:space="preserve">INFORME SOBRE </w:t>
      </w:r>
      <w:r w:rsidR="00BE4E47" w:rsidRPr="007B5921">
        <w:rPr>
          <w:rFonts w:cs="Arial"/>
          <w:b/>
          <w:sz w:val="28"/>
          <w:szCs w:val="28"/>
        </w:rPr>
        <w:t xml:space="preserve">LA </w:t>
      </w:r>
      <w:r w:rsidRPr="007B5921">
        <w:rPr>
          <w:rFonts w:cs="Arial"/>
          <w:b/>
          <w:sz w:val="28"/>
          <w:szCs w:val="28"/>
        </w:rPr>
        <w:t xml:space="preserve">ACTIVIDAD LITIGIOSA </w:t>
      </w:r>
      <w:r w:rsidR="007B5921" w:rsidRPr="007B5921">
        <w:rPr>
          <w:rFonts w:cs="Arial"/>
          <w:b/>
          <w:sz w:val="28"/>
          <w:szCs w:val="28"/>
        </w:rPr>
        <w:br/>
      </w:r>
      <w:r w:rsidRPr="007B5921">
        <w:rPr>
          <w:rFonts w:cs="Arial"/>
          <w:b/>
          <w:sz w:val="28"/>
          <w:szCs w:val="28"/>
        </w:rPr>
        <w:t>DE LA NACIÓN</w:t>
      </w:r>
      <w:r w:rsidR="0091618A" w:rsidRPr="007B5921">
        <w:rPr>
          <w:rFonts w:cs="Arial"/>
          <w:b/>
          <w:sz w:val="28"/>
          <w:szCs w:val="28"/>
        </w:rPr>
        <w:t xml:space="preserve"> A SEPTIEMBRE DE 2013 </w:t>
      </w:r>
    </w:p>
    <w:p w14:paraId="7DF09C5F" w14:textId="77777777" w:rsidR="00831FD5" w:rsidRDefault="00831FD5" w:rsidP="00270F3C">
      <w:pPr>
        <w:ind w:right="-283"/>
        <w:jc w:val="center"/>
        <w:rPr>
          <w:rFonts w:cs="Arial"/>
          <w:b/>
        </w:rPr>
      </w:pPr>
    </w:p>
    <w:p w14:paraId="12ABE57F" w14:textId="77777777" w:rsidR="003B41C3" w:rsidRPr="00831FD5" w:rsidRDefault="003B41C3" w:rsidP="003B41C3">
      <w:pPr>
        <w:ind w:right="-283"/>
        <w:jc w:val="both"/>
        <w:rPr>
          <w:rFonts w:cs="Arial"/>
          <w:lang w:val="es-CO"/>
        </w:rPr>
      </w:pPr>
      <w:r w:rsidRPr="00831FD5">
        <w:rPr>
          <w:rFonts w:cs="Arial"/>
          <w:lang w:val="es-CO"/>
        </w:rPr>
        <w:t xml:space="preserve">En virtud de lo previsto en el Artículo 10, numeral 8 del Decreto 4085 de 2011, corresponde al Consejo Directivo </w:t>
      </w:r>
      <w:r w:rsidRPr="00831FD5">
        <w:rPr>
          <w:rFonts w:cs="Arial"/>
          <w:i/>
          <w:iCs/>
          <w:lang w:val="es-CO"/>
        </w:rPr>
        <w:t>“Aprobar el Informe que será presentado por el Director de la Agencia al Consejo de Ministros, con una periodicidad mínima anual, sobre la actividad litigiosa de la Nación”.</w:t>
      </w:r>
    </w:p>
    <w:p w14:paraId="678FEBB6" w14:textId="77777777" w:rsidR="003B41C3" w:rsidRPr="00831FD5" w:rsidRDefault="003B41C3" w:rsidP="003B41C3">
      <w:pPr>
        <w:ind w:right="-283"/>
        <w:jc w:val="both"/>
        <w:rPr>
          <w:rFonts w:cs="Arial"/>
        </w:rPr>
      </w:pPr>
      <w:r w:rsidRPr="00831FD5">
        <w:rPr>
          <w:rFonts w:cs="Arial"/>
        </w:rPr>
        <w:t>En consecuencia, se presenta este informe para consideración y aprobación del Consejo Directivo, junto con el resumen ejecutivo que será presentado al Consejo de Ministros por parte de la Directora General de la Agencia, en cumplimiento de lo previsto en el artículo 11, numeral 6 del citado Decreto 4085 de 2011.</w:t>
      </w:r>
    </w:p>
    <w:p w14:paraId="17529643" w14:textId="77777777" w:rsidR="003B41C3" w:rsidRDefault="003B41C3" w:rsidP="003B41C3">
      <w:pPr>
        <w:ind w:right="-283"/>
        <w:jc w:val="both"/>
        <w:rPr>
          <w:rFonts w:cs="Arial"/>
        </w:rPr>
      </w:pPr>
      <w:r w:rsidRPr="00831FD5">
        <w:rPr>
          <w:rFonts w:cs="Arial"/>
        </w:rPr>
        <w:t xml:space="preserve">El informe sobre actividad litigiosa de la Nación permite </w:t>
      </w:r>
      <w:r>
        <w:rPr>
          <w:rFonts w:cs="Arial"/>
        </w:rPr>
        <w:t xml:space="preserve">conocer los antecedentes y el contexto general de </w:t>
      </w:r>
      <w:r w:rsidRPr="00831FD5">
        <w:rPr>
          <w:rFonts w:cs="Arial"/>
        </w:rPr>
        <w:t>la actividad litigiosa del Estado</w:t>
      </w:r>
      <w:r>
        <w:rPr>
          <w:rFonts w:cs="Arial"/>
        </w:rPr>
        <w:t>.  Se</w:t>
      </w:r>
      <w:r w:rsidRPr="00831FD5">
        <w:rPr>
          <w:rFonts w:cs="Arial"/>
        </w:rPr>
        <w:t xml:space="preserve"> toma como fecha de corte el mes de septiembre del año en curso</w:t>
      </w:r>
      <w:r>
        <w:rPr>
          <w:rFonts w:cs="Arial"/>
        </w:rPr>
        <w:t xml:space="preserve"> y se revisan los diferentes sectores administrativos en cuanto a procesos judiciales registrados en el Sistema Único de Gestión e Información de la Actividad Litigiosa del Estado.</w:t>
      </w:r>
    </w:p>
    <w:p w14:paraId="565B4674" w14:textId="77777777" w:rsidR="003B41C3" w:rsidRDefault="003B41C3" w:rsidP="003B41C3">
      <w:pPr>
        <w:ind w:right="-283"/>
        <w:jc w:val="both"/>
        <w:rPr>
          <w:rFonts w:cs="Arial"/>
        </w:rPr>
      </w:pPr>
      <w:r>
        <w:rPr>
          <w:rFonts w:cs="Arial"/>
        </w:rPr>
        <w:t xml:space="preserve">Por otra parte, se explica cuál ha sido el comportamiento de los procesos expresamente señalados en el Acuerdo 06 de 2012 del Consejo Directivo. También se hace mención a la gestión que adelanta la Agencia en la defensa de los asuntos internacionales frente al Sistema Interamericano de Derechos Humanos y el comportamiento de la conciliación extrajudicial de acuerdo con la información que reporta el Formato Único de Información Litigiosa y Conciliaciones – FUGCC.  </w:t>
      </w:r>
    </w:p>
    <w:p w14:paraId="06AAC03D" w14:textId="77777777" w:rsidR="003B41C3" w:rsidRDefault="003B41C3" w:rsidP="003B41C3">
      <w:pPr>
        <w:ind w:right="-283"/>
        <w:jc w:val="both"/>
        <w:rPr>
          <w:rFonts w:cs="Arial"/>
        </w:rPr>
      </w:pPr>
      <w:r>
        <w:rPr>
          <w:rFonts w:cs="Arial"/>
        </w:rPr>
        <w:t xml:space="preserve">Por último, se informa </w:t>
      </w:r>
      <w:r w:rsidRPr="00831FD5">
        <w:rPr>
          <w:rFonts w:cs="Arial"/>
        </w:rPr>
        <w:t>al Consejo</w:t>
      </w:r>
      <w:r>
        <w:rPr>
          <w:rFonts w:cs="Arial"/>
        </w:rPr>
        <w:t xml:space="preserve"> Directivo de la Agencia y al Consejo </w:t>
      </w:r>
      <w:r w:rsidRPr="00831FD5">
        <w:rPr>
          <w:rFonts w:cs="Arial"/>
        </w:rPr>
        <w:t>de Ministros sobre los principales avances, logros y</w:t>
      </w:r>
      <w:r>
        <w:rPr>
          <w:rFonts w:cs="Arial"/>
        </w:rPr>
        <w:t xml:space="preserve"> proyectos en curso </w:t>
      </w:r>
      <w:r w:rsidRPr="00831FD5">
        <w:rPr>
          <w:rFonts w:cs="Arial"/>
        </w:rPr>
        <w:t>de</w:t>
      </w:r>
      <w:r>
        <w:rPr>
          <w:rFonts w:cs="Arial"/>
        </w:rPr>
        <w:t xml:space="preserve"> ésta </w:t>
      </w:r>
      <w:r w:rsidRPr="00831FD5">
        <w:rPr>
          <w:rFonts w:cs="Arial"/>
        </w:rPr>
        <w:t>Agencia</w:t>
      </w:r>
      <w:r>
        <w:rPr>
          <w:rFonts w:cs="Arial"/>
        </w:rPr>
        <w:t>, l</w:t>
      </w:r>
      <w:r w:rsidRPr="00831FD5">
        <w:rPr>
          <w:rFonts w:cs="Arial"/>
        </w:rPr>
        <w:t>os principales problemas</w:t>
      </w:r>
      <w:r>
        <w:rPr>
          <w:rFonts w:cs="Arial"/>
        </w:rPr>
        <w:t xml:space="preserve"> que se enfrentan </w:t>
      </w:r>
      <w:r w:rsidRPr="00831FD5">
        <w:rPr>
          <w:rFonts w:cs="Arial"/>
        </w:rPr>
        <w:t>y su caracter</w:t>
      </w:r>
      <w:r>
        <w:rPr>
          <w:rFonts w:cs="Arial"/>
        </w:rPr>
        <w:t xml:space="preserve">ización </w:t>
      </w:r>
      <w:r w:rsidRPr="00831FD5">
        <w:rPr>
          <w:rFonts w:cs="Arial"/>
        </w:rPr>
        <w:t xml:space="preserve">en materia de actividad </w:t>
      </w:r>
      <w:r>
        <w:rPr>
          <w:rFonts w:cs="Arial"/>
        </w:rPr>
        <w:t>l</w:t>
      </w:r>
      <w:r w:rsidRPr="00831FD5">
        <w:rPr>
          <w:rFonts w:cs="Arial"/>
        </w:rPr>
        <w:t>itigiosa del Estado, así como algunas de las acciones emprendidas para mitiga</w:t>
      </w:r>
      <w:r>
        <w:rPr>
          <w:rFonts w:cs="Arial"/>
        </w:rPr>
        <w:t>rlos.</w:t>
      </w:r>
    </w:p>
    <w:p w14:paraId="5F9D8D72" w14:textId="77777777" w:rsidR="003B41C3" w:rsidRDefault="003B41C3" w:rsidP="003B41C3">
      <w:pPr>
        <w:ind w:right="-283"/>
        <w:jc w:val="both"/>
        <w:rPr>
          <w:rFonts w:cs="Arial"/>
        </w:rPr>
      </w:pPr>
    </w:p>
    <w:p w14:paraId="3A482B7A" w14:textId="77777777" w:rsidR="003B41C3" w:rsidRDefault="003B41C3" w:rsidP="003B41C3">
      <w:pPr>
        <w:ind w:right="-283"/>
        <w:jc w:val="both"/>
        <w:rPr>
          <w:rFonts w:cs="Arial"/>
        </w:rPr>
      </w:pPr>
    </w:p>
    <w:p w14:paraId="7DB8B1B8" w14:textId="77777777" w:rsidR="003B41C3" w:rsidRDefault="003B41C3" w:rsidP="003B41C3">
      <w:pPr>
        <w:ind w:right="-283"/>
        <w:jc w:val="both"/>
        <w:rPr>
          <w:rFonts w:cs="Arial"/>
        </w:rPr>
      </w:pPr>
    </w:p>
    <w:p w14:paraId="3186EE35" w14:textId="77777777" w:rsidR="003B41C3" w:rsidRDefault="003B41C3" w:rsidP="003B41C3">
      <w:pPr>
        <w:ind w:right="-283"/>
        <w:jc w:val="both"/>
        <w:rPr>
          <w:rFonts w:cs="Arial"/>
        </w:rPr>
      </w:pPr>
    </w:p>
    <w:p w14:paraId="206D4597" w14:textId="77777777" w:rsidR="003B41C3" w:rsidRDefault="003B41C3" w:rsidP="003B41C3">
      <w:pPr>
        <w:ind w:right="-283"/>
        <w:jc w:val="both"/>
        <w:rPr>
          <w:rFonts w:cs="Arial"/>
        </w:rPr>
      </w:pPr>
    </w:p>
    <w:p w14:paraId="1B137FA2" w14:textId="77777777" w:rsidR="003B41C3" w:rsidRDefault="003B41C3" w:rsidP="003B41C3">
      <w:pPr>
        <w:ind w:right="-283"/>
        <w:jc w:val="both"/>
        <w:rPr>
          <w:rFonts w:cs="Arial"/>
        </w:rPr>
      </w:pPr>
    </w:p>
    <w:p w14:paraId="56143228" w14:textId="77777777" w:rsidR="003B41C3" w:rsidRPr="0001165F" w:rsidRDefault="003B41C3" w:rsidP="003B41C3">
      <w:pPr>
        <w:pStyle w:val="Prrafodelista"/>
        <w:numPr>
          <w:ilvl w:val="0"/>
          <w:numId w:val="7"/>
        </w:numPr>
        <w:ind w:left="567" w:right="-283" w:hanging="567"/>
        <w:jc w:val="both"/>
        <w:rPr>
          <w:rFonts w:cs="Arial"/>
          <w:lang w:val="es-CO"/>
        </w:rPr>
      </w:pPr>
      <w:r>
        <w:rPr>
          <w:rFonts w:cs="Arial"/>
          <w:b/>
        </w:rPr>
        <w:lastRenderedPageBreak/>
        <w:t xml:space="preserve">ANTECEDENTES Y CONTEXTO </w:t>
      </w:r>
      <w:r w:rsidRPr="0001165F">
        <w:rPr>
          <w:rFonts w:cs="Arial"/>
          <w:b/>
        </w:rPr>
        <w:t xml:space="preserve">GENERAL </w:t>
      </w:r>
      <w:r>
        <w:rPr>
          <w:rFonts w:cs="Arial"/>
          <w:b/>
        </w:rPr>
        <w:t xml:space="preserve">DE </w:t>
      </w:r>
      <w:r w:rsidRPr="0001165F">
        <w:rPr>
          <w:rFonts w:cs="Arial"/>
          <w:b/>
        </w:rPr>
        <w:t>LA ACTIVIDAD LITIGIOSA DEL ESTADO</w:t>
      </w:r>
      <w:r>
        <w:rPr>
          <w:rFonts w:cs="Arial"/>
          <w:b/>
        </w:rPr>
        <w:t>.</w:t>
      </w:r>
    </w:p>
    <w:p w14:paraId="5FD50D3C" w14:textId="77777777" w:rsidR="003B41C3" w:rsidRDefault="003B41C3" w:rsidP="003B41C3">
      <w:pPr>
        <w:ind w:right="-283"/>
        <w:jc w:val="both"/>
        <w:rPr>
          <w:rFonts w:cs="Arial"/>
        </w:rPr>
      </w:pPr>
    </w:p>
    <w:p w14:paraId="0B69956F" w14:textId="77777777" w:rsidR="003B41C3" w:rsidRDefault="003B41C3" w:rsidP="003B41C3">
      <w:pPr>
        <w:ind w:right="-283"/>
        <w:jc w:val="both"/>
        <w:rPr>
          <w:rFonts w:cs="Arial"/>
        </w:rPr>
      </w:pPr>
      <w:r w:rsidRPr="00831FD5">
        <w:rPr>
          <w:rFonts w:cs="Arial"/>
        </w:rPr>
        <w:t xml:space="preserve">La actividad litigiosa de Estado tiene un impacto fiscal significativo en el Presupuesto General de la Nación, derivado principalmente de los pagos de sentencias y conciliaciones realizados por las entidades públicas de orden nacional. </w:t>
      </w:r>
      <w:r>
        <w:rPr>
          <w:rFonts w:cs="Arial"/>
        </w:rPr>
        <w:t xml:space="preserve"> </w:t>
      </w:r>
    </w:p>
    <w:p w14:paraId="6C96869C" w14:textId="77777777" w:rsidR="003B41C3" w:rsidRPr="001A6B6B" w:rsidRDefault="003B41C3" w:rsidP="003B41C3">
      <w:pPr>
        <w:ind w:right="-283"/>
        <w:jc w:val="both"/>
        <w:rPr>
          <w:rFonts w:cs="Arial"/>
        </w:rPr>
      </w:pPr>
      <w:r w:rsidRPr="001A6B6B">
        <w:rPr>
          <w:rFonts w:cs="Arial"/>
        </w:rPr>
        <w:t xml:space="preserve">Esta problemática se </w:t>
      </w:r>
      <w:r>
        <w:rPr>
          <w:rFonts w:cs="Arial"/>
        </w:rPr>
        <w:t xml:space="preserve">evidenció en </w:t>
      </w:r>
      <w:r w:rsidRPr="001A6B6B">
        <w:rPr>
          <w:rFonts w:cs="Arial"/>
        </w:rPr>
        <w:t>el</w:t>
      </w:r>
      <w:r>
        <w:rPr>
          <w:rFonts w:cs="Arial"/>
        </w:rPr>
        <w:t xml:space="preserve"> año</w:t>
      </w:r>
      <w:r w:rsidRPr="001A6B6B">
        <w:rPr>
          <w:rFonts w:cs="Arial"/>
        </w:rPr>
        <w:t xml:space="preserve"> 2003 </w:t>
      </w:r>
      <w:r>
        <w:rPr>
          <w:rFonts w:cs="Arial"/>
        </w:rPr>
        <w:t>y tuvo como resultado</w:t>
      </w:r>
      <w:r w:rsidRPr="001A6B6B">
        <w:rPr>
          <w:rFonts w:cs="Arial"/>
        </w:rPr>
        <w:t xml:space="preserve"> la aprobación del documento CONPES 3250, </w:t>
      </w:r>
      <w:r>
        <w:rPr>
          <w:rFonts w:cs="Arial"/>
        </w:rPr>
        <w:t xml:space="preserve">en el cual se </w:t>
      </w:r>
      <w:r w:rsidRPr="001A6B6B">
        <w:rPr>
          <w:rFonts w:cs="Arial"/>
        </w:rPr>
        <w:t xml:space="preserve">definió un Programa de Fortalecimiento de la Defensa Legal de la Nación y </w:t>
      </w:r>
      <w:r>
        <w:rPr>
          <w:rFonts w:cs="Arial"/>
        </w:rPr>
        <w:t>una serie de acciones dirigidas a efectuar un</w:t>
      </w:r>
      <w:r w:rsidRPr="001A6B6B">
        <w:rPr>
          <w:rFonts w:cs="Arial"/>
        </w:rPr>
        <w:t>a adecuada valoración de</w:t>
      </w:r>
      <w:r>
        <w:rPr>
          <w:rFonts w:cs="Arial"/>
        </w:rPr>
        <w:t>l contingente a cargo del Estado,</w:t>
      </w:r>
      <w:r w:rsidRPr="001A6B6B">
        <w:rPr>
          <w:rFonts w:cs="Arial"/>
        </w:rPr>
        <w:t xml:space="preserve"> </w:t>
      </w:r>
      <w:r>
        <w:rPr>
          <w:rFonts w:cs="Arial"/>
        </w:rPr>
        <w:t xml:space="preserve">derivadas de </w:t>
      </w:r>
      <w:r w:rsidRPr="001A6B6B">
        <w:rPr>
          <w:rFonts w:cs="Arial"/>
        </w:rPr>
        <w:t xml:space="preserve">sentencias y conciliaciones.  </w:t>
      </w:r>
    </w:p>
    <w:p w14:paraId="65B6ECDB" w14:textId="77777777" w:rsidR="003B41C3" w:rsidRPr="00831FD5" w:rsidRDefault="003B41C3" w:rsidP="003B41C3">
      <w:pPr>
        <w:ind w:right="-283"/>
        <w:jc w:val="both"/>
        <w:rPr>
          <w:rFonts w:cs="Arial"/>
          <w:i/>
        </w:rPr>
      </w:pPr>
      <w:r w:rsidRPr="00831FD5">
        <w:rPr>
          <w:rFonts w:cs="Arial"/>
        </w:rPr>
        <w:t>La definición del Programa de Fortalecimiento de la Defensa Legal de la Nación del CONPES en mención, part</w:t>
      </w:r>
      <w:r>
        <w:rPr>
          <w:rFonts w:cs="Arial"/>
        </w:rPr>
        <w:t>ía</w:t>
      </w:r>
      <w:r w:rsidRPr="00831FD5">
        <w:rPr>
          <w:rFonts w:cs="Arial"/>
        </w:rPr>
        <w:t xml:space="preserve"> de una serie de problemáticas identificadas entre las </w:t>
      </w:r>
      <w:r>
        <w:rPr>
          <w:rFonts w:cs="Arial"/>
        </w:rPr>
        <w:t xml:space="preserve">cuales </w:t>
      </w:r>
      <w:r w:rsidRPr="00831FD5">
        <w:rPr>
          <w:rFonts w:cs="Arial"/>
        </w:rPr>
        <w:t>se enc</w:t>
      </w:r>
      <w:r>
        <w:rPr>
          <w:rFonts w:cs="Arial"/>
        </w:rPr>
        <w:t>ontraban</w:t>
      </w:r>
      <w:r w:rsidRPr="00831FD5">
        <w:rPr>
          <w:rFonts w:cs="Arial"/>
        </w:rPr>
        <w:t xml:space="preserve"> principalmente</w:t>
      </w:r>
      <w:r>
        <w:rPr>
          <w:rFonts w:cs="Arial"/>
        </w:rPr>
        <w:t xml:space="preserve">: </w:t>
      </w:r>
      <w:r w:rsidRPr="00831FD5">
        <w:rPr>
          <w:rFonts w:cs="Arial"/>
        </w:rPr>
        <w:t>la “</w:t>
      </w:r>
      <w:r w:rsidRPr="00831FD5">
        <w:rPr>
          <w:rFonts w:cs="Arial"/>
          <w:i/>
        </w:rPr>
        <w:t>ineficaz y precaria defensa técnica de los intereses estatales en litigio resultado de: deficiencias de tipo organizacional y funcional de las oficinas encargadas de la defensa legal, no empleo de los mecanismos alternos de solución de conflictos, inexistencia de mecanismos de coordinación entre las distintas oficinas jurídicas codemandadas, ausencia de criterios unificados para atender los litigios, ausencia de estímulos y derechos para quienes asumen la representación judicial de los litigios del estado y dificultad de controlar y hacer seguimiento al desempeño de las entidades</w:t>
      </w:r>
      <w:r w:rsidRPr="00831FD5">
        <w:rPr>
          <w:rFonts w:cs="Arial"/>
        </w:rPr>
        <w:t>.”, sin contar con que el mismo documento advierte sobre “</w:t>
      </w:r>
      <w:r w:rsidRPr="00831FD5">
        <w:rPr>
          <w:rFonts w:cs="Arial"/>
          <w:i/>
        </w:rPr>
        <w:t xml:space="preserve">la imposibilidad de describir la situación real de la actividad litigiosa del Estado en razón de la inconsistencia y la diversidad de cifras que sobre la materia existen”.  </w:t>
      </w:r>
    </w:p>
    <w:p w14:paraId="35A973D6" w14:textId="77777777" w:rsidR="003B41C3" w:rsidRPr="00831FD5" w:rsidRDefault="003B41C3" w:rsidP="003B41C3">
      <w:pPr>
        <w:ind w:right="-283"/>
        <w:jc w:val="both"/>
        <w:rPr>
          <w:rFonts w:cs="Arial"/>
        </w:rPr>
      </w:pPr>
      <w:r w:rsidRPr="00831FD5">
        <w:rPr>
          <w:rFonts w:cs="Arial"/>
        </w:rPr>
        <w:t>Por su parte, la necesidad de valorar el pasivo contingente de sentencias y conciliaciones de la Nación surgió ante la preocupación de la incidencia fiscal que éste pudiera tener.  Muestra de ello es la expedición de la Ley 819 de 2003, que en su artículo primero ordenó al Gobierno Nacional la presentación del Marco Fiscal de Mediano Plazo en cada vigencia fiscal, con la relación de los pasivos contingentes que pudieran afectar las finanzas de la Nación, mandato que</w:t>
      </w:r>
      <w:r>
        <w:rPr>
          <w:rFonts w:cs="Arial"/>
        </w:rPr>
        <w:t xml:space="preserve"> </w:t>
      </w:r>
      <w:r w:rsidRPr="00831FD5">
        <w:rPr>
          <w:rFonts w:cs="Arial"/>
        </w:rPr>
        <w:t xml:space="preserve">buscaba cumplir con los lineamientos emitidos en el  CONPES 3250 de 2003.  </w:t>
      </w:r>
    </w:p>
    <w:p w14:paraId="40CDB042" w14:textId="77777777" w:rsidR="003B41C3" w:rsidRPr="00831FD5" w:rsidRDefault="003B41C3" w:rsidP="003B41C3">
      <w:pPr>
        <w:ind w:right="-283"/>
        <w:jc w:val="both"/>
        <w:rPr>
          <w:rFonts w:cs="Arial"/>
        </w:rPr>
      </w:pPr>
      <w:r w:rsidRPr="00831FD5">
        <w:rPr>
          <w:rFonts w:cs="Arial"/>
        </w:rPr>
        <w:t xml:space="preserve">A pesar de las políticas formuladas, los pagos por sentencias y conciliaciones continuaron aumentando de forma exponencial así como el número de demandas en contra del Estado durante el resto de la década. Conscientes de la gravedad de la situación y </w:t>
      </w:r>
      <w:r>
        <w:rPr>
          <w:rFonts w:cs="Arial"/>
        </w:rPr>
        <w:t xml:space="preserve">de la </w:t>
      </w:r>
      <w:r w:rsidRPr="00831FD5">
        <w:rPr>
          <w:rFonts w:cs="Arial"/>
        </w:rPr>
        <w:t>necesidad de reducir el valor de los pagos efectuados por sentencias en contra</w:t>
      </w:r>
      <w:r>
        <w:rPr>
          <w:rFonts w:cs="Arial"/>
        </w:rPr>
        <w:t xml:space="preserve">,  </w:t>
      </w:r>
      <w:r w:rsidRPr="00831FD5">
        <w:rPr>
          <w:rFonts w:cs="Arial"/>
        </w:rPr>
        <w:t>fue creada la Agencia Nacional de Defensa Jurídica del Estado en el 2011 –Ley 1444</w:t>
      </w:r>
      <w:r>
        <w:rPr>
          <w:rFonts w:cs="Arial"/>
        </w:rPr>
        <w:t xml:space="preserve">/11 y </w:t>
      </w:r>
      <w:r w:rsidRPr="00831FD5">
        <w:rPr>
          <w:rFonts w:cs="Arial"/>
        </w:rPr>
        <w:t xml:space="preserve"> Decreto Ley 4085/11</w:t>
      </w:r>
      <w:r>
        <w:rPr>
          <w:rFonts w:cs="Arial"/>
        </w:rPr>
        <w:t>.</w:t>
      </w:r>
    </w:p>
    <w:p w14:paraId="2DEFB3D0" w14:textId="77777777" w:rsidR="003B41C3" w:rsidRDefault="003B41C3" w:rsidP="003B41C3">
      <w:pPr>
        <w:ind w:right="-283"/>
        <w:jc w:val="both"/>
        <w:rPr>
          <w:rFonts w:cs="Arial"/>
        </w:rPr>
      </w:pPr>
    </w:p>
    <w:p w14:paraId="5FD1F240" w14:textId="77777777" w:rsidR="003B41C3" w:rsidRDefault="003B41C3" w:rsidP="003B41C3">
      <w:pPr>
        <w:ind w:right="-283"/>
        <w:jc w:val="both"/>
        <w:rPr>
          <w:rFonts w:cs="Arial"/>
        </w:rPr>
      </w:pPr>
    </w:p>
    <w:p w14:paraId="14476A3A" w14:textId="77777777" w:rsidR="003B41C3" w:rsidRDefault="003B41C3" w:rsidP="003B41C3">
      <w:pPr>
        <w:ind w:right="-283"/>
        <w:jc w:val="both"/>
        <w:rPr>
          <w:rFonts w:cs="Arial"/>
        </w:rPr>
      </w:pPr>
    </w:p>
    <w:p w14:paraId="12C2F8E8" w14:textId="77777777" w:rsidR="003B41C3" w:rsidRPr="00831FD5" w:rsidRDefault="003B41C3" w:rsidP="003B41C3">
      <w:pPr>
        <w:ind w:right="-283"/>
        <w:jc w:val="both"/>
        <w:rPr>
          <w:rFonts w:cs="Arial"/>
        </w:rPr>
      </w:pPr>
      <w:r w:rsidRPr="00831FD5">
        <w:rPr>
          <w:rFonts w:cs="Arial"/>
        </w:rPr>
        <w:lastRenderedPageBreak/>
        <w:t>Mediante el Decreto 4085/11 se definen entre otras disposiciones, el alcance de la Defensa Jurídica del Estado y se asignan las funciones de la nueva Agencia Nacional de Defensa Jurídica del Estado.</w:t>
      </w:r>
      <w:r>
        <w:rPr>
          <w:rFonts w:cs="Arial"/>
        </w:rPr>
        <w:t xml:space="preserve">  La</w:t>
      </w:r>
      <w:r w:rsidRPr="00831FD5">
        <w:rPr>
          <w:rFonts w:cs="Arial"/>
        </w:rPr>
        <w:t>s principales funciones definidas para la Agencia</w:t>
      </w:r>
      <w:r>
        <w:rPr>
          <w:rFonts w:cs="Arial"/>
        </w:rPr>
        <w:t xml:space="preserve"> en el artículo 6 del citado Decreto, </w:t>
      </w:r>
      <w:r w:rsidRPr="00831FD5">
        <w:rPr>
          <w:rFonts w:cs="Arial"/>
        </w:rPr>
        <w:t>se presentan en el</w:t>
      </w:r>
      <w:r>
        <w:rPr>
          <w:rFonts w:cs="Arial"/>
        </w:rPr>
        <w:t xml:space="preserve"> Anexo 1 del presente documento.</w:t>
      </w:r>
    </w:p>
    <w:p w14:paraId="5CD39AD8" w14:textId="77777777" w:rsidR="003B41C3" w:rsidRDefault="003B41C3" w:rsidP="003B41C3">
      <w:pPr>
        <w:ind w:right="-283"/>
        <w:jc w:val="both"/>
        <w:rPr>
          <w:rFonts w:cs="Arial"/>
          <w:lang w:val="es-CO"/>
        </w:rPr>
      </w:pPr>
      <w:r>
        <w:rPr>
          <w:rFonts w:cs="Arial"/>
        </w:rPr>
        <w:t xml:space="preserve">En este marco de funciones que desarrolla la Agencia y particularmente </w:t>
      </w:r>
      <w:r w:rsidRPr="008D7D44">
        <w:rPr>
          <w:rFonts w:cs="Arial"/>
          <w:lang w:val="es-CO"/>
        </w:rPr>
        <w:t xml:space="preserve">gracias a la información que contiene el </w:t>
      </w:r>
      <w:r w:rsidRPr="008D7D44">
        <w:rPr>
          <w:rFonts w:cs="Arial"/>
          <w:b/>
          <w:i/>
          <w:lang w:val="es-CO"/>
        </w:rPr>
        <w:t>Sistema Único de Gestión de Información de la Actividad Litigiosa del Estado</w:t>
      </w:r>
      <w:r w:rsidRPr="008D7D44">
        <w:rPr>
          <w:rFonts w:cs="Arial"/>
          <w:lang w:val="es-CO"/>
        </w:rPr>
        <w:t>, el cual debe ser utilizado por todas las entidades públicas del orden nacional, y que hoy es administrado por la Agencia Nacional de Defensa Jurídica del Estado</w:t>
      </w:r>
      <w:r>
        <w:rPr>
          <w:rFonts w:cs="Arial"/>
          <w:lang w:val="es-CO"/>
        </w:rPr>
        <w:t>, es posible c</w:t>
      </w:r>
      <w:r w:rsidRPr="00C7331E">
        <w:rPr>
          <w:rFonts w:cs="Arial"/>
          <w:lang w:val="es-CO"/>
        </w:rPr>
        <w:t>ontextualizar la problemática asociada a la actividad litigiosa que enfrenta la Nación</w:t>
      </w:r>
      <w:r>
        <w:rPr>
          <w:rFonts w:cs="Arial"/>
          <w:lang w:val="es-CO"/>
        </w:rPr>
        <w:t>.</w:t>
      </w:r>
      <w:r w:rsidRPr="00C7331E">
        <w:rPr>
          <w:rFonts w:cs="Arial"/>
          <w:lang w:val="es-CO"/>
        </w:rPr>
        <w:t xml:space="preserve"> </w:t>
      </w:r>
    </w:p>
    <w:p w14:paraId="3CE84402" w14:textId="77777777" w:rsidR="003B41C3" w:rsidRDefault="003B41C3" w:rsidP="003B41C3">
      <w:pPr>
        <w:ind w:right="-283"/>
        <w:jc w:val="both"/>
        <w:rPr>
          <w:rFonts w:cs="Arial"/>
          <w:lang w:val="es-CO"/>
        </w:rPr>
      </w:pPr>
      <w:r>
        <w:rPr>
          <w:rFonts w:cs="Arial"/>
          <w:lang w:val="es-CO"/>
        </w:rPr>
        <w:t xml:space="preserve">Para mejor compresión del contexto en el cual se crea y desarrolla la Agencia se analizarán dos temas significativos: el pago de sentencias y conciliaciones 2000-2013 y la estimación del pasivo contingente. </w:t>
      </w:r>
    </w:p>
    <w:p w14:paraId="3585DE03" w14:textId="77777777" w:rsidR="003B41C3" w:rsidRDefault="003B41C3" w:rsidP="003B41C3">
      <w:pPr>
        <w:ind w:right="-283"/>
        <w:jc w:val="both"/>
        <w:rPr>
          <w:rFonts w:cs="Arial"/>
          <w:lang w:val="es-CO"/>
        </w:rPr>
      </w:pPr>
    </w:p>
    <w:p w14:paraId="6BA2F865" w14:textId="77777777" w:rsidR="003B41C3" w:rsidRPr="008D7D44" w:rsidRDefault="003B41C3" w:rsidP="003B41C3">
      <w:pPr>
        <w:pStyle w:val="Prrafodelista"/>
        <w:numPr>
          <w:ilvl w:val="1"/>
          <w:numId w:val="7"/>
        </w:numPr>
        <w:ind w:left="0" w:right="-283" w:firstLine="0"/>
        <w:jc w:val="both"/>
        <w:rPr>
          <w:rFonts w:cs="Arial"/>
          <w:lang w:val="es-CO"/>
        </w:rPr>
      </w:pPr>
      <w:r>
        <w:rPr>
          <w:rFonts w:cs="Arial"/>
          <w:b/>
        </w:rPr>
        <w:t>P</w:t>
      </w:r>
      <w:r w:rsidRPr="008D7D44">
        <w:rPr>
          <w:rFonts w:cs="Arial"/>
          <w:b/>
        </w:rPr>
        <w:t xml:space="preserve">ago de </w:t>
      </w:r>
      <w:r>
        <w:rPr>
          <w:rFonts w:cs="Arial"/>
          <w:b/>
        </w:rPr>
        <w:t>S</w:t>
      </w:r>
      <w:r w:rsidRPr="008D7D44">
        <w:rPr>
          <w:rFonts w:cs="Arial"/>
          <w:b/>
        </w:rPr>
        <w:t xml:space="preserve">entencias y </w:t>
      </w:r>
      <w:r>
        <w:rPr>
          <w:rFonts w:cs="Arial"/>
          <w:b/>
        </w:rPr>
        <w:t>C</w:t>
      </w:r>
      <w:r w:rsidRPr="008D7D44">
        <w:rPr>
          <w:rFonts w:cs="Arial"/>
          <w:b/>
        </w:rPr>
        <w:t>onciliaciones 2000</w:t>
      </w:r>
      <w:r w:rsidRPr="008D7D44">
        <w:rPr>
          <w:rFonts w:cs="Arial"/>
          <w:b/>
          <w:lang w:val="es-CO"/>
        </w:rPr>
        <w:t>- 2013</w:t>
      </w:r>
    </w:p>
    <w:p w14:paraId="66203CB1" w14:textId="77777777" w:rsidR="003B41C3" w:rsidRDefault="003B41C3" w:rsidP="003B41C3">
      <w:pPr>
        <w:ind w:right="-283" w:firstLine="1"/>
        <w:jc w:val="both"/>
        <w:rPr>
          <w:rFonts w:cs="Arial"/>
        </w:rPr>
      </w:pPr>
    </w:p>
    <w:p w14:paraId="7DC531D5" w14:textId="77777777" w:rsidR="003B41C3" w:rsidRPr="00C7331E" w:rsidRDefault="003B41C3" w:rsidP="003B41C3">
      <w:pPr>
        <w:ind w:right="-283" w:firstLine="1"/>
        <w:jc w:val="both"/>
        <w:rPr>
          <w:rFonts w:cs="Arial"/>
        </w:rPr>
      </w:pPr>
      <w:r w:rsidRPr="00C7331E">
        <w:rPr>
          <w:rFonts w:cs="Arial"/>
        </w:rPr>
        <w:t>El análisis del pago de sentencias y conciliaciones en contra de las entidades públicas de orden nacional tiene tres grandes aspectos que son objeto de análisis. En primer lugar, el comportamiento de los pagos efectuados por las Entidades por el rubro presupuestal de sentencias y conciliaciones; en segundo lugar</w:t>
      </w:r>
      <w:r>
        <w:rPr>
          <w:rFonts w:cs="Arial"/>
        </w:rPr>
        <w:t>,</w:t>
      </w:r>
      <w:r w:rsidRPr="00C7331E">
        <w:rPr>
          <w:rFonts w:cs="Arial"/>
        </w:rPr>
        <w:t xml:space="preserve"> las apropiaciones presupuestales asignadas a este rubro; y finalmente las adiciones</w:t>
      </w:r>
      <w:r>
        <w:rPr>
          <w:rFonts w:cs="Arial"/>
        </w:rPr>
        <w:t xml:space="preserve"> </w:t>
      </w:r>
      <w:r w:rsidRPr="00C7331E">
        <w:rPr>
          <w:rFonts w:cs="Arial"/>
        </w:rPr>
        <w:t>presupuest</w:t>
      </w:r>
      <w:r>
        <w:rPr>
          <w:rFonts w:cs="Arial"/>
        </w:rPr>
        <w:t>ales con cargo a este rubro.</w:t>
      </w:r>
      <w:r w:rsidRPr="00C7331E">
        <w:rPr>
          <w:rFonts w:cs="Arial"/>
        </w:rPr>
        <w:t xml:space="preserve"> </w:t>
      </w:r>
    </w:p>
    <w:p w14:paraId="1115A8ED" w14:textId="77777777" w:rsidR="003B41C3" w:rsidRDefault="003B41C3" w:rsidP="003B41C3">
      <w:pPr>
        <w:ind w:right="-283" w:firstLine="1"/>
        <w:jc w:val="both"/>
        <w:rPr>
          <w:rFonts w:cs="Arial"/>
          <w:b/>
          <w:bCs/>
          <w:lang w:val="es-CO"/>
        </w:rPr>
      </w:pPr>
      <w:r w:rsidRPr="00C7331E">
        <w:rPr>
          <w:rFonts w:cs="Arial"/>
        </w:rPr>
        <w:t xml:space="preserve">La Nación presenta una tendencia creciente en los pagos de </w:t>
      </w:r>
      <w:r>
        <w:rPr>
          <w:rFonts w:cs="Arial"/>
        </w:rPr>
        <w:t>s</w:t>
      </w:r>
      <w:r w:rsidRPr="00C7331E">
        <w:rPr>
          <w:rFonts w:cs="Arial"/>
        </w:rPr>
        <w:t xml:space="preserve">entencias y </w:t>
      </w:r>
      <w:r>
        <w:rPr>
          <w:rFonts w:cs="Arial"/>
        </w:rPr>
        <w:t>c</w:t>
      </w:r>
      <w:r w:rsidRPr="00C7331E">
        <w:rPr>
          <w:rFonts w:cs="Arial"/>
        </w:rPr>
        <w:t>onciliaciones desde el año 2000 que, en términos generales, está explicada tanto por el aumento en la cantidad de procesos como por los montos de sus pretensiones. Sin embargo, no se puede ignorar como posible causa del incremento en los pagos, su correlación con las debilidades y limitaciones en la capacidad de defensa legal por parte del Estado, l</w:t>
      </w:r>
      <w:r>
        <w:rPr>
          <w:rFonts w:cs="Arial"/>
        </w:rPr>
        <w:t xml:space="preserve">o </w:t>
      </w:r>
      <w:r w:rsidRPr="00C7331E">
        <w:rPr>
          <w:rFonts w:cs="Arial"/>
        </w:rPr>
        <w:t xml:space="preserve">cual se evidencia </w:t>
      </w:r>
      <w:r>
        <w:rPr>
          <w:rFonts w:cs="Arial"/>
        </w:rPr>
        <w:t>en l</w:t>
      </w:r>
      <w:r w:rsidRPr="00C7331E">
        <w:rPr>
          <w:rFonts w:cs="Arial"/>
        </w:rPr>
        <w:t>a baja tasa de éxito de la defensa jurídica de las entidades.</w:t>
      </w:r>
      <w:r>
        <w:rPr>
          <w:rFonts w:cs="Arial"/>
        </w:rPr>
        <w:t xml:space="preserve"> El conjunto de estas d</w:t>
      </w:r>
      <w:r w:rsidRPr="00C7331E">
        <w:rPr>
          <w:rFonts w:cs="Arial"/>
        </w:rPr>
        <w:t>eficiencias se</w:t>
      </w:r>
      <w:r>
        <w:rPr>
          <w:rFonts w:cs="Arial"/>
        </w:rPr>
        <w:t xml:space="preserve"> </w:t>
      </w:r>
      <w:r w:rsidRPr="00C7331E">
        <w:rPr>
          <w:rFonts w:cs="Arial"/>
        </w:rPr>
        <w:t>conv</w:t>
      </w:r>
      <w:r>
        <w:rPr>
          <w:rFonts w:cs="Arial"/>
        </w:rPr>
        <w:t>ierte e</w:t>
      </w:r>
      <w:r w:rsidRPr="00C7331E">
        <w:rPr>
          <w:rFonts w:cs="Arial"/>
        </w:rPr>
        <w:t>n</w:t>
      </w:r>
      <w:r>
        <w:rPr>
          <w:rFonts w:cs="Arial"/>
        </w:rPr>
        <w:t xml:space="preserve"> el </w:t>
      </w:r>
      <w:r w:rsidRPr="00C7331E">
        <w:rPr>
          <w:rFonts w:cs="Arial"/>
        </w:rPr>
        <w:t xml:space="preserve">objeto de gestión </w:t>
      </w:r>
      <w:r>
        <w:rPr>
          <w:rFonts w:cs="Arial"/>
        </w:rPr>
        <w:t xml:space="preserve">de </w:t>
      </w:r>
      <w:r w:rsidRPr="00C7331E">
        <w:rPr>
          <w:rFonts w:cs="Arial"/>
        </w:rPr>
        <w:t>la Agencia</w:t>
      </w:r>
      <w:r>
        <w:rPr>
          <w:rFonts w:cs="Arial"/>
        </w:rPr>
        <w:t>,</w:t>
      </w:r>
      <w:r w:rsidRPr="00C7331E">
        <w:rPr>
          <w:rFonts w:cs="Arial"/>
        </w:rPr>
        <w:t xml:space="preserve"> con miras a prevenir el daño antijurídico y a mejorar la defensa con el fin de proteger el patrimonio público. </w:t>
      </w:r>
      <w:r w:rsidRPr="00C7331E">
        <w:rPr>
          <w:rFonts w:cs="Arial"/>
          <w:b/>
          <w:bCs/>
          <w:lang w:val="es-CO"/>
        </w:rPr>
        <w:t xml:space="preserve">     </w:t>
      </w:r>
    </w:p>
    <w:p w14:paraId="06FE38FC" w14:textId="77777777" w:rsidR="003B41C3" w:rsidRDefault="003B41C3" w:rsidP="003B41C3">
      <w:pPr>
        <w:ind w:right="-283" w:firstLine="1"/>
        <w:jc w:val="both"/>
        <w:rPr>
          <w:rFonts w:cs="Arial"/>
          <w:b/>
          <w:bCs/>
          <w:sz w:val="18"/>
          <w:szCs w:val="18"/>
          <w:lang w:val="es-CO"/>
        </w:rPr>
      </w:pPr>
      <w:r w:rsidRPr="005E7627">
        <w:rPr>
          <w:rFonts w:cs="Arial"/>
          <w:bCs/>
        </w:rPr>
        <w:t>De acuerdo con los cálculos</w:t>
      </w:r>
      <w:r w:rsidRPr="005E7627">
        <w:rPr>
          <w:rFonts w:cs="Arial"/>
          <w:bCs/>
          <w:lang w:val="es-CO"/>
        </w:rPr>
        <w:t xml:space="preserve"> de la Dirección de Gestión de Información de la Agencia, </w:t>
      </w:r>
      <w:r w:rsidRPr="005E7627">
        <w:rPr>
          <w:rFonts w:cs="Arial"/>
          <w:bCs/>
        </w:rPr>
        <w:t>los desembolsos realizados por las Entidades Públicas de orden nacional han tenido un crecimiento exponencial del 492% entre el año 2000 y el 2012 (</w:t>
      </w:r>
      <w:r>
        <w:rPr>
          <w:rFonts w:cs="Arial"/>
          <w:bCs/>
        </w:rPr>
        <w:t>Ver g</w:t>
      </w:r>
      <w:r w:rsidRPr="005E7627">
        <w:rPr>
          <w:rFonts w:cs="Arial"/>
          <w:bCs/>
        </w:rPr>
        <w:t>ráfico 1).</w:t>
      </w:r>
      <w:r>
        <w:rPr>
          <w:rFonts w:cs="Arial"/>
          <w:bCs/>
        </w:rPr>
        <w:t xml:space="preserve"> </w:t>
      </w:r>
    </w:p>
    <w:p w14:paraId="61DCC774" w14:textId="77777777" w:rsidR="003B41C3" w:rsidRDefault="003B41C3" w:rsidP="003B41C3">
      <w:pPr>
        <w:ind w:right="-283" w:firstLine="1"/>
        <w:jc w:val="both"/>
        <w:rPr>
          <w:rFonts w:cs="Arial"/>
          <w:b/>
          <w:bCs/>
          <w:sz w:val="18"/>
          <w:szCs w:val="18"/>
          <w:lang w:val="es-CO"/>
        </w:rPr>
      </w:pPr>
    </w:p>
    <w:p w14:paraId="6DDC97E9" w14:textId="77777777" w:rsidR="003B41C3" w:rsidRDefault="003B41C3" w:rsidP="003B41C3">
      <w:pPr>
        <w:ind w:right="-283" w:firstLine="1"/>
        <w:jc w:val="center"/>
        <w:rPr>
          <w:rFonts w:cs="Arial"/>
          <w:b/>
          <w:bCs/>
          <w:sz w:val="18"/>
          <w:szCs w:val="18"/>
          <w:lang w:val="es-CO"/>
        </w:rPr>
      </w:pPr>
      <w:r w:rsidRPr="00C7331E">
        <w:rPr>
          <w:rFonts w:cs="Arial"/>
          <w:b/>
          <w:bCs/>
          <w:sz w:val="18"/>
          <w:szCs w:val="18"/>
          <w:lang w:val="es-CO"/>
        </w:rPr>
        <w:lastRenderedPageBreak/>
        <w:t>Gráfico 1:</w:t>
      </w:r>
      <w:r w:rsidRPr="00C7331E">
        <w:rPr>
          <w:noProof/>
          <w:lang w:val="es-CO" w:eastAsia="es-CO"/>
        </w:rPr>
        <w:drawing>
          <wp:anchor distT="0" distB="0" distL="114300" distR="114300" simplePos="0" relativeHeight="251702527" behindDoc="0" locked="0" layoutInCell="1" allowOverlap="1" wp14:anchorId="7C006789" wp14:editId="3690EACE">
            <wp:simplePos x="0" y="0"/>
            <wp:positionH relativeFrom="margin">
              <wp:posOffset>-89535</wp:posOffset>
            </wp:positionH>
            <wp:positionV relativeFrom="paragraph">
              <wp:posOffset>180340</wp:posOffset>
            </wp:positionV>
            <wp:extent cx="5514975" cy="2524125"/>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C7331E">
        <w:rPr>
          <w:rFonts w:cs="Arial"/>
          <w:b/>
          <w:bCs/>
          <w:sz w:val="18"/>
          <w:szCs w:val="18"/>
          <w:lang w:val="es-CO"/>
        </w:rPr>
        <w:t>Histórico de apropiaciones y pagos de</w:t>
      </w:r>
      <w:r>
        <w:rPr>
          <w:rFonts w:cs="Arial"/>
          <w:b/>
          <w:bCs/>
          <w:sz w:val="18"/>
          <w:szCs w:val="18"/>
          <w:lang w:val="es-CO"/>
        </w:rPr>
        <w:t xml:space="preserve"> </w:t>
      </w:r>
      <w:r w:rsidRPr="00C7331E">
        <w:rPr>
          <w:rFonts w:cs="Arial"/>
          <w:b/>
          <w:bCs/>
          <w:sz w:val="18"/>
          <w:szCs w:val="18"/>
          <w:lang w:val="es-CO"/>
        </w:rPr>
        <w:t>Sentencias y conciliaciones (precios constantes 2013)</w:t>
      </w:r>
    </w:p>
    <w:p w14:paraId="42BCBFA1" w14:textId="77777777" w:rsidR="003B41C3" w:rsidRDefault="003B41C3" w:rsidP="003B41C3">
      <w:pPr>
        <w:ind w:right="-283"/>
        <w:jc w:val="center"/>
        <w:rPr>
          <w:rFonts w:cs="Arial"/>
        </w:rPr>
      </w:pPr>
      <w:r w:rsidRPr="000D5065">
        <w:rPr>
          <w:rFonts w:cs="Arial"/>
          <w:b/>
          <w:sz w:val="18"/>
          <w:szCs w:val="18"/>
        </w:rPr>
        <w:t>Fuente</w:t>
      </w:r>
      <w:r>
        <w:rPr>
          <w:rFonts w:cs="Arial"/>
          <w:b/>
          <w:sz w:val="18"/>
          <w:szCs w:val="18"/>
        </w:rPr>
        <w:t>:</w:t>
      </w:r>
      <w:r w:rsidRPr="000D5065">
        <w:rPr>
          <w:rFonts w:cs="Arial"/>
          <w:b/>
          <w:sz w:val="18"/>
          <w:szCs w:val="18"/>
        </w:rPr>
        <w:t xml:space="preserve"> reportes de la Dirección General de Presupuesto Público Nacional del MHCP y Sistema Integrado de Información Financiera de la Nación</w:t>
      </w:r>
      <w:r w:rsidRPr="000D5065">
        <w:rPr>
          <w:rFonts w:cs="Arial"/>
          <w:b/>
          <w:sz w:val="18"/>
          <w:szCs w:val="18"/>
          <w:vertAlign w:val="superscript"/>
          <w:lang w:val="es-CO"/>
        </w:rPr>
        <w:footnoteReference w:id="1"/>
      </w:r>
      <w:r w:rsidRPr="000D5065">
        <w:rPr>
          <w:rFonts w:cs="Arial"/>
          <w:b/>
          <w:sz w:val="18"/>
          <w:szCs w:val="18"/>
        </w:rPr>
        <w:t>- Cálculos: DGI-ANDJE</w:t>
      </w:r>
    </w:p>
    <w:p w14:paraId="5E10523D" w14:textId="77777777" w:rsidR="003B41C3" w:rsidRDefault="003B41C3" w:rsidP="003B41C3">
      <w:pPr>
        <w:ind w:right="-283"/>
        <w:jc w:val="both"/>
        <w:rPr>
          <w:rFonts w:cs="Arial"/>
        </w:rPr>
      </w:pPr>
      <w:r>
        <w:rPr>
          <w:rFonts w:cs="Arial"/>
        </w:rPr>
        <w:t>Como se puede observar en este gráfico, en el</w:t>
      </w:r>
      <w:r w:rsidRPr="005E7627">
        <w:rPr>
          <w:rFonts w:cs="Arial"/>
        </w:rPr>
        <w:t xml:space="preserve"> último año se alcanzó un pico histórico para la Nación del orden de $1.19 billones de pesos. Tan solo entre el 2011 y el 2012 los pagos realizados se incrementaron en un 40%. Mientras en el año 2000 se cancelaron alrededor de $201.032 millones, para el 2013 se tienen previstos $1.07 billones. Para Agosto de 2013 se han realizado pagos por $565.158 millones, equivalentes a una ejecución del 53%.    </w:t>
      </w:r>
    </w:p>
    <w:p w14:paraId="332FC454" w14:textId="77777777" w:rsidR="003B41C3" w:rsidRPr="00C7331E" w:rsidRDefault="003B41C3" w:rsidP="003B41C3">
      <w:pPr>
        <w:ind w:right="-283"/>
        <w:jc w:val="both"/>
        <w:rPr>
          <w:rFonts w:cs="Arial"/>
          <w:lang w:val="es-CO"/>
        </w:rPr>
      </w:pPr>
      <w:r w:rsidRPr="00C7331E">
        <w:rPr>
          <w:rFonts w:cs="Arial"/>
          <w:lang w:val="es-CO"/>
        </w:rPr>
        <w:t>En el acumulado de los trece años analizados, el impacto en el Presupuesto General de la Nación alcanzó los $6.19 billones de pesos. Esta cifra equivale al 3.3% del Presupuesto total apropiado por la Nación para el 2013 y el 14.13% de la apropiación presupuestal  para inversión del mismo año</w:t>
      </w:r>
      <w:r w:rsidRPr="00C7331E">
        <w:rPr>
          <w:rStyle w:val="Refdenotaalpie"/>
          <w:rFonts w:cs="Arial"/>
          <w:lang w:val="es-CO"/>
        </w:rPr>
        <w:footnoteReference w:id="2"/>
      </w:r>
      <w:r w:rsidRPr="00C7331E">
        <w:rPr>
          <w:rFonts w:cs="Arial"/>
          <w:lang w:val="es-CO"/>
        </w:rPr>
        <w:t xml:space="preserve">. </w:t>
      </w:r>
    </w:p>
    <w:p w14:paraId="4A8BA002" w14:textId="77777777" w:rsidR="003B41C3" w:rsidRPr="00C7331E" w:rsidRDefault="003B41C3" w:rsidP="003B41C3">
      <w:pPr>
        <w:ind w:right="-283"/>
        <w:jc w:val="both"/>
        <w:rPr>
          <w:rFonts w:cs="Arial"/>
          <w:lang w:val="es-CO"/>
        </w:rPr>
      </w:pPr>
      <w:r w:rsidRPr="00C7331E">
        <w:rPr>
          <w:rFonts w:cs="Arial"/>
          <w:lang w:val="es-CO"/>
        </w:rPr>
        <w:t xml:space="preserve">Un análisis </w:t>
      </w:r>
      <w:r>
        <w:rPr>
          <w:rFonts w:cs="Arial"/>
          <w:lang w:val="es-CO"/>
        </w:rPr>
        <w:t>d</w:t>
      </w:r>
      <w:r w:rsidRPr="00C7331E">
        <w:rPr>
          <w:rFonts w:cs="Arial"/>
          <w:lang w:val="es-CO"/>
        </w:rPr>
        <w:t xml:space="preserve">etallado </w:t>
      </w:r>
      <w:r>
        <w:rPr>
          <w:rFonts w:cs="Arial"/>
          <w:lang w:val="es-CO"/>
        </w:rPr>
        <w:t>d</w:t>
      </w:r>
      <w:r w:rsidRPr="00C7331E">
        <w:rPr>
          <w:rFonts w:cs="Arial"/>
          <w:lang w:val="es-CO"/>
        </w:rPr>
        <w:t>el per</w:t>
      </w:r>
      <w:r>
        <w:rPr>
          <w:rFonts w:cs="Arial"/>
          <w:lang w:val="es-CO"/>
        </w:rPr>
        <w:t xml:space="preserve">iodo </w:t>
      </w:r>
      <w:r w:rsidRPr="00C7331E">
        <w:rPr>
          <w:rFonts w:cs="Arial"/>
          <w:lang w:val="es-CO"/>
        </w:rPr>
        <w:t>2006 – 2013</w:t>
      </w:r>
      <w:r>
        <w:rPr>
          <w:rFonts w:cs="Arial"/>
          <w:lang w:val="es-CO"/>
        </w:rPr>
        <w:t xml:space="preserve"> en el que se </w:t>
      </w:r>
      <w:r w:rsidRPr="00C7331E">
        <w:rPr>
          <w:rFonts w:cs="Arial"/>
          <w:lang w:val="es-CO"/>
        </w:rPr>
        <w:t>evidenci</w:t>
      </w:r>
      <w:r>
        <w:rPr>
          <w:rFonts w:cs="Arial"/>
          <w:lang w:val="es-CO"/>
        </w:rPr>
        <w:t>an</w:t>
      </w:r>
      <w:r w:rsidRPr="00C7331E">
        <w:rPr>
          <w:rFonts w:cs="Arial"/>
          <w:lang w:val="es-CO"/>
        </w:rPr>
        <w:t xml:space="preserve"> los mayores niveles de pagos, indica por un lado, que el valor ejecutado para el pago de sentencias y conciliaciones equivale al 2.7% del presupuesto ejecutado de inversión en este mismo periodo</w:t>
      </w:r>
      <w:r w:rsidRPr="00C7331E">
        <w:rPr>
          <w:rStyle w:val="Refdenotaalpie"/>
          <w:rFonts w:cs="Arial"/>
          <w:lang w:val="es-CO"/>
        </w:rPr>
        <w:footnoteReference w:id="3"/>
      </w:r>
      <w:r w:rsidRPr="00C7331E">
        <w:rPr>
          <w:rFonts w:cs="Arial"/>
          <w:lang w:val="es-CO"/>
        </w:rPr>
        <w:t xml:space="preserve"> y por otro lado, que los pagos de sentencias y conciliaciones como porcentaje de la inversión ejecutada se incrementaron en todas las vigencias fiscales. Durante el 2007 se presentó el nivel de pagos más bajo, equivalente al 1.7% de la inversión ejecutada en esa vigencia. Mientras que en el 2012, como se mencionó anteriormente, </w:t>
      </w:r>
      <w:r>
        <w:rPr>
          <w:rFonts w:cs="Arial"/>
          <w:lang w:val="es-CO"/>
        </w:rPr>
        <w:t xml:space="preserve">se </w:t>
      </w:r>
      <w:r w:rsidRPr="00C7331E">
        <w:rPr>
          <w:rFonts w:cs="Arial"/>
          <w:lang w:val="es-CO"/>
        </w:rPr>
        <w:t>registró el máximo nivel de pagos representando el 4.5% de la inversión</w:t>
      </w:r>
      <w:r>
        <w:rPr>
          <w:rFonts w:cs="Arial"/>
          <w:lang w:val="es-CO"/>
        </w:rPr>
        <w:t xml:space="preserve"> nacional</w:t>
      </w:r>
      <w:r w:rsidRPr="00C7331E">
        <w:rPr>
          <w:rFonts w:cs="Arial"/>
          <w:lang w:val="es-CO"/>
        </w:rPr>
        <w:t xml:space="preserve">. </w:t>
      </w:r>
    </w:p>
    <w:p w14:paraId="6986503B" w14:textId="77777777" w:rsidR="003B41C3" w:rsidRDefault="003B41C3" w:rsidP="003B41C3">
      <w:pPr>
        <w:ind w:right="-283"/>
        <w:jc w:val="both"/>
        <w:rPr>
          <w:rFonts w:cs="Arial"/>
          <w:bCs/>
          <w:lang w:val="es-CO"/>
        </w:rPr>
      </w:pPr>
      <w:r w:rsidRPr="001129B1">
        <w:rPr>
          <w:rFonts w:cs="Arial"/>
          <w:bCs/>
          <w:lang w:val="es-CO"/>
        </w:rPr>
        <w:lastRenderedPageBreak/>
        <w:t>La distribución de los pagos de Sentencias y Conciliaciones entre los diferentes sectores del Gobierno Nacional también marca una clara tendencia durante el periodo 2000 – 2013</w:t>
      </w:r>
      <w:r>
        <w:rPr>
          <w:rFonts w:cs="Arial"/>
          <w:bCs/>
          <w:lang w:val="es-CO"/>
        </w:rPr>
        <w:t xml:space="preserve">. </w:t>
      </w:r>
      <w:r w:rsidRPr="0060006B">
        <w:rPr>
          <w:rFonts w:cs="Arial"/>
          <w:bCs/>
          <w:lang w:val="es-CO"/>
        </w:rPr>
        <w:t xml:space="preserve">En materia de la contribución anual promedio de los sectores </w:t>
      </w:r>
      <w:r>
        <w:rPr>
          <w:rFonts w:cs="Arial"/>
          <w:bCs/>
          <w:lang w:val="es-CO"/>
        </w:rPr>
        <w:t xml:space="preserve">frente </w:t>
      </w:r>
      <w:r w:rsidRPr="0060006B">
        <w:rPr>
          <w:rFonts w:cs="Arial"/>
          <w:bCs/>
          <w:lang w:val="es-CO"/>
        </w:rPr>
        <w:t xml:space="preserve">al pago de Sentencias y Conciliaciones durante los últimos trece años se tiene el siguiente escenario: Seguridad y Defensa 51%, Transporte 14.7%, Interior y Justicia 8.4%, Hacienda 5.5% y Fiscalía 4.7% (Ver Gráfico 2). </w:t>
      </w:r>
    </w:p>
    <w:p w14:paraId="60C0C9AA" w14:textId="77777777" w:rsidR="003B41C3" w:rsidRPr="00C717AB" w:rsidRDefault="003B41C3" w:rsidP="003B41C3">
      <w:pPr>
        <w:ind w:right="-283"/>
        <w:jc w:val="center"/>
        <w:rPr>
          <w:rFonts w:cs="Arial"/>
          <w:b/>
          <w:bCs/>
          <w:sz w:val="18"/>
          <w:szCs w:val="18"/>
          <w:lang w:val="es-CO"/>
        </w:rPr>
      </w:pPr>
      <w:r w:rsidRPr="00C717AB">
        <w:rPr>
          <w:rFonts w:cs="Arial"/>
          <w:b/>
          <w:bCs/>
          <w:sz w:val="18"/>
          <w:szCs w:val="18"/>
          <w:lang w:val="es-CO"/>
        </w:rPr>
        <w:t>Gráfico 2</w:t>
      </w:r>
      <w:r>
        <w:rPr>
          <w:rFonts w:cs="Arial"/>
          <w:b/>
          <w:bCs/>
          <w:sz w:val="18"/>
          <w:szCs w:val="18"/>
          <w:lang w:val="es-CO"/>
        </w:rPr>
        <w:t xml:space="preserve">: </w:t>
      </w:r>
      <w:r w:rsidRPr="00C717AB">
        <w:rPr>
          <w:rFonts w:cs="Arial"/>
          <w:b/>
          <w:bCs/>
          <w:sz w:val="18"/>
          <w:szCs w:val="18"/>
          <w:lang w:val="es-CO"/>
        </w:rPr>
        <w:t>Histórico de participaciones de pagos  sentencias y conciliaciones de los sectores que alcanzaron los mayores niveles</w:t>
      </w:r>
    </w:p>
    <w:p w14:paraId="5F055D9E" w14:textId="77777777" w:rsidR="003B41C3" w:rsidRDefault="003B41C3" w:rsidP="003B41C3">
      <w:pPr>
        <w:ind w:right="-283"/>
        <w:jc w:val="center"/>
        <w:rPr>
          <w:rFonts w:cs="Arial"/>
          <w:b/>
          <w:bCs/>
          <w:sz w:val="18"/>
          <w:szCs w:val="18"/>
          <w:lang w:val="es-CO"/>
        </w:rPr>
      </w:pPr>
      <w:r w:rsidRPr="00E46994">
        <w:rPr>
          <w:noProof/>
          <w:sz w:val="22"/>
          <w:szCs w:val="22"/>
          <w:lang w:val="es-CO" w:eastAsia="es-CO"/>
        </w:rPr>
        <w:drawing>
          <wp:anchor distT="0" distB="0" distL="114300" distR="114300" simplePos="0" relativeHeight="251703551" behindDoc="0" locked="0" layoutInCell="1" allowOverlap="1" wp14:anchorId="708CBA5F" wp14:editId="61D6D109">
            <wp:simplePos x="0" y="0"/>
            <wp:positionH relativeFrom="margin">
              <wp:posOffset>-165735</wp:posOffset>
            </wp:positionH>
            <wp:positionV relativeFrom="paragraph">
              <wp:posOffset>165100</wp:posOffset>
            </wp:positionV>
            <wp:extent cx="5819775" cy="3676650"/>
            <wp:effectExtent l="0" t="0" r="0" b="0"/>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BE54E96" w14:textId="77777777" w:rsidR="003B41C3" w:rsidRPr="003F06AA" w:rsidRDefault="003B41C3" w:rsidP="003B41C3">
      <w:pPr>
        <w:ind w:right="-283"/>
        <w:jc w:val="center"/>
        <w:rPr>
          <w:rFonts w:cs="Arial"/>
        </w:rPr>
      </w:pPr>
      <w:r w:rsidRPr="003F06AA">
        <w:rPr>
          <w:rFonts w:cs="Arial"/>
          <w:b/>
          <w:bCs/>
          <w:sz w:val="18"/>
          <w:szCs w:val="18"/>
          <w:lang w:val="es-CO"/>
        </w:rPr>
        <w:t xml:space="preserve">Fuente: </w:t>
      </w:r>
      <w:r w:rsidRPr="003F06AA">
        <w:rPr>
          <w:rFonts w:cs="Arial"/>
          <w:b/>
          <w:bCs/>
          <w:sz w:val="18"/>
          <w:szCs w:val="18"/>
        </w:rPr>
        <w:t>Reportes de la Dirección General de Presupuesto Público Nacional                                                                                                                                             del MHCP y Sistema Integrado de Información Financiera de la Nación-                                                                                                                   Cálculos: DGI-ANDJE. *2013: acumulado a agosto</w:t>
      </w:r>
      <w:r>
        <w:rPr>
          <w:rFonts w:cs="Arial"/>
          <w:b/>
          <w:bCs/>
          <w:sz w:val="18"/>
          <w:szCs w:val="18"/>
        </w:rPr>
        <w:t xml:space="preserve"> </w:t>
      </w:r>
      <w:r w:rsidRPr="003F06AA">
        <w:rPr>
          <w:rFonts w:cs="Arial"/>
          <w:bCs/>
          <w:lang w:val="es-CO"/>
        </w:rPr>
        <w:t xml:space="preserve">                                                  </w:t>
      </w:r>
      <w:r w:rsidRPr="003F06AA">
        <w:rPr>
          <w:rFonts w:cs="Arial"/>
        </w:rPr>
        <w:t xml:space="preserve">                                                                                </w:t>
      </w:r>
    </w:p>
    <w:p w14:paraId="5704C8AD" w14:textId="77777777" w:rsidR="003B41C3" w:rsidRDefault="003B41C3" w:rsidP="003B41C3">
      <w:pPr>
        <w:ind w:right="-283"/>
        <w:jc w:val="both"/>
        <w:rPr>
          <w:rFonts w:cs="Arial"/>
          <w:bCs/>
        </w:rPr>
      </w:pPr>
      <w:r>
        <w:rPr>
          <w:rFonts w:cs="Arial"/>
          <w:bCs/>
          <w:lang w:val="es-CO"/>
        </w:rPr>
        <w:t>A</w:t>
      </w:r>
      <w:r w:rsidRPr="00C717AB">
        <w:rPr>
          <w:rFonts w:cs="Arial"/>
          <w:bCs/>
          <w:lang w:val="es-CO"/>
        </w:rPr>
        <w:t xml:space="preserve">unque para los primeros años de la década, el sector Transporte concentraba una proporción importante de los pagos, el sector Seguridad y Defensa históricamente ha ocupado el primer lugar de pagos respecto al total. Esta situación se hizo más evidente desde el 2006, año a partir del cual </w:t>
      </w:r>
      <w:r w:rsidRPr="00C717AB">
        <w:rPr>
          <w:rFonts w:cs="Arial"/>
          <w:bCs/>
        </w:rPr>
        <w:t>el sector Seguridad y Defensa casi duplicó la participación promedio de la primera mitad del periodo, respecto a la segunda, al pasar de  38.5% a 63,5%.</w:t>
      </w:r>
    </w:p>
    <w:p w14:paraId="6D937C2C" w14:textId="77777777" w:rsidR="003B41C3" w:rsidRDefault="003B41C3" w:rsidP="003B41C3">
      <w:pPr>
        <w:ind w:right="-283"/>
        <w:jc w:val="both"/>
        <w:rPr>
          <w:rFonts w:cs="Arial"/>
          <w:bCs/>
        </w:rPr>
      </w:pPr>
    </w:p>
    <w:p w14:paraId="4E0F9055" w14:textId="77777777" w:rsidR="003B41C3" w:rsidRDefault="003B41C3" w:rsidP="003B41C3">
      <w:pPr>
        <w:ind w:right="-283"/>
        <w:jc w:val="both"/>
        <w:rPr>
          <w:rFonts w:cs="Arial"/>
          <w:bCs/>
        </w:rPr>
      </w:pPr>
    </w:p>
    <w:p w14:paraId="4620D988" w14:textId="77777777" w:rsidR="003B41C3" w:rsidRPr="00C861AE" w:rsidRDefault="003B41C3" w:rsidP="003B41C3">
      <w:pPr>
        <w:ind w:right="-283"/>
        <w:jc w:val="both"/>
        <w:rPr>
          <w:rFonts w:cs="Arial"/>
          <w:bCs/>
        </w:rPr>
      </w:pPr>
      <w:r w:rsidRPr="00C861AE">
        <w:rPr>
          <w:rFonts w:cs="Arial"/>
          <w:bCs/>
        </w:rPr>
        <w:lastRenderedPageBreak/>
        <w:t xml:space="preserve">No se puede dejar </w:t>
      </w:r>
      <w:r>
        <w:rPr>
          <w:rFonts w:cs="Arial"/>
          <w:bCs/>
        </w:rPr>
        <w:t>de</w:t>
      </w:r>
      <w:r w:rsidRPr="00C861AE">
        <w:rPr>
          <w:rFonts w:cs="Arial"/>
          <w:bCs/>
        </w:rPr>
        <w:t xml:space="preserve"> lado la relevancia que ha tomado el sector de la Fiscalía desde el </w:t>
      </w:r>
      <w:r>
        <w:rPr>
          <w:rFonts w:cs="Arial"/>
          <w:bCs/>
        </w:rPr>
        <w:t xml:space="preserve">año </w:t>
      </w:r>
      <w:r w:rsidRPr="00C861AE">
        <w:rPr>
          <w:rFonts w:cs="Arial"/>
          <w:bCs/>
        </w:rPr>
        <w:t>2010</w:t>
      </w:r>
      <w:r>
        <w:rPr>
          <w:rFonts w:cs="Arial"/>
          <w:bCs/>
        </w:rPr>
        <w:t>, el cual co</w:t>
      </w:r>
      <w:r w:rsidRPr="00C861AE">
        <w:rPr>
          <w:rFonts w:cs="Arial"/>
          <w:bCs/>
        </w:rPr>
        <w:t>ncentra hoy en día el 12.2% de los pagos. De esta manera</w:t>
      </w:r>
      <w:r>
        <w:rPr>
          <w:rFonts w:cs="Arial"/>
          <w:bCs/>
        </w:rPr>
        <w:t>,</w:t>
      </w:r>
      <w:r w:rsidRPr="00C861AE">
        <w:rPr>
          <w:rFonts w:cs="Arial"/>
          <w:bCs/>
        </w:rPr>
        <w:t xml:space="preserve"> los sectores de Seguridad y Defensa, y Fiscalía, generan alerta </w:t>
      </w:r>
      <w:r>
        <w:rPr>
          <w:rFonts w:cs="Arial"/>
          <w:bCs/>
        </w:rPr>
        <w:t xml:space="preserve">al Estado </w:t>
      </w:r>
      <w:r w:rsidRPr="00C861AE">
        <w:rPr>
          <w:rFonts w:cs="Arial"/>
          <w:bCs/>
        </w:rPr>
        <w:t>pues en conjunto</w:t>
      </w:r>
      <w:r>
        <w:rPr>
          <w:rFonts w:cs="Arial"/>
          <w:bCs/>
        </w:rPr>
        <w:t xml:space="preserve"> </w:t>
      </w:r>
      <w:r w:rsidRPr="00C861AE">
        <w:rPr>
          <w:rFonts w:cs="Arial"/>
          <w:bCs/>
        </w:rPr>
        <w:t>suman el 81.5% de dichas erogaciones</w:t>
      </w:r>
      <w:r>
        <w:rPr>
          <w:rFonts w:cs="Arial"/>
          <w:bCs/>
        </w:rPr>
        <w:t>.</w:t>
      </w:r>
    </w:p>
    <w:p w14:paraId="75460946" w14:textId="77777777" w:rsidR="003B41C3" w:rsidRDefault="003B41C3" w:rsidP="003B41C3">
      <w:pPr>
        <w:ind w:right="-283"/>
        <w:jc w:val="both"/>
        <w:rPr>
          <w:rFonts w:cs="Arial"/>
          <w:bCs/>
        </w:rPr>
      </w:pPr>
      <w:r>
        <w:rPr>
          <w:rFonts w:cs="Arial"/>
          <w:bCs/>
        </w:rPr>
        <w:t>Por otra parte y como se puede advertir en el gráfico 3, e</w:t>
      </w:r>
      <w:r w:rsidRPr="003F06AA">
        <w:rPr>
          <w:rFonts w:cs="Arial"/>
          <w:bCs/>
        </w:rPr>
        <w:t>n términos de apropiaciones el comportamiento es muy similar y consecuente con el de pagos, a excepción del año 2009 en el que aumentaron un 72%</w:t>
      </w:r>
      <w:r>
        <w:rPr>
          <w:rFonts w:cs="Arial"/>
          <w:bCs/>
        </w:rPr>
        <w:t>,</w:t>
      </w:r>
      <w:r w:rsidRPr="003F06AA">
        <w:rPr>
          <w:rFonts w:cs="Arial"/>
          <w:bCs/>
        </w:rPr>
        <w:t xml:space="preserve"> muy  por encima del rango  de incrementos históricos que se encuentran entre 1.7% – 39.6%. </w:t>
      </w:r>
    </w:p>
    <w:p w14:paraId="1ADEBE97" w14:textId="77777777" w:rsidR="003B41C3" w:rsidRPr="003F06AA" w:rsidRDefault="003B41C3" w:rsidP="003B41C3">
      <w:pPr>
        <w:ind w:right="-283"/>
        <w:jc w:val="both"/>
        <w:rPr>
          <w:rFonts w:cs="Arial"/>
          <w:bCs/>
        </w:rPr>
      </w:pPr>
      <w:r w:rsidRPr="003F06AA">
        <w:rPr>
          <w:rFonts w:cs="Arial"/>
          <w:bCs/>
        </w:rPr>
        <w:t>También es importante mencionar el pico histórico del 2012 en el que la apropiación inicial fue de $938.302 millones de pesos, y que se incrementó en 30.3% para el fin de año alcanzando los $1,34 billones (Gráfico 3).  De la  apropiación final se ejecutó por pagos el 88.5%, es decir $1,19 billones. Un monto cerca de cuatro veces el valor total pagado en el 2006 y alrededor de seis veces el valor total pagado en el 2000</w:t>
      </w:r>
      <w:r>
        <w:rPr>
          <w:rFonts w:cs="Arial"/>
          <w:bCs/>
        </w:rPr>
        <w:t>.</w:t>
      </w:r>
    </w:p>
    <w:p w14:paraId="6E425994" w14:textId="77777777" w:rsidR="003B41C3" w:rsidRDefault="003B41C3" w:rsidP="003B41C3">
      <w:pPr>
        <w:ind w:right="-283"/>
        <w:jc w:val="both"/>
        <w:rPr>
          <w:rFonts w:cs="Arial"/>
          <w:bCs/>
          <w:lang w:val="es-CO"/>
        </w:rPr>
      </w:pPr>
      <w:r w:rsidRPr="009F4120">
        <w:rPr>
          <w:rFonts w:cs="Arial"/>
          <w:bCs/>
          <w:lang w:val="es-CO"/>
        </w:rPr>
        <w:t>En lo corrido del 2013 parece no haber cambios significativos en la tendencia presupuestal en términos de apropiaciones, continuando su propensión creciente – la apropiación inicial de 2013 fue 1.3% superior respecto al 2012-.</w:t>
      </w:r>
    </w:p>
    <w:p w14:paraId="027381D9" w14:textId="77777777" w:rsidR="003B41C3" w:rsidRDefault="003B41C3" w:rsidP="003B41C3">
      <w:pPr>
        <w:ind w:right="-283"/>
        <w:jc w:val="center"/>
        <w:rPr>
          <w:rFonts w:cs="Arial"/>
          <w:b/>
          <w:bCs/>
          <w:sz w:val="18"/>
          <w:szCs w:val="18"/>
          <w:lang w:val="es-CO"/>
        </w:rPr>
      </w:pPr>
    </w:p>
    <w:p w14:paraId="244917B5" w14:textId="77777777" w:rsidR="003B41C3" w:rsidRDefault="003B41C3" w:rsidP="003B41C3">
      <w:pPr>
        <w:ind w:right="-283"/>
        <w:jc w:val="center"/>
        <w:rPr>
          <w:rFonts w:cs="Arial"/>
          <w:b/>
          <w:bCs/>
          <w:sz w:val="18"/>
          <w:szCs w:val="18"/>
          <w:lang w:val="es-CO"/>
        </w:rPr>
      </w:pPr>
      <w:r>
        <w:rPr>
          <w:rFonts w:cs="Arial"/>
          <w:b/>
          <w:bCs/>
          <w:noProof/>
          <w:sz w:val="18"/>
          <w:szCs w:val="18"/>
          <w:lang w:val="es-CO" w:eastAsia="es-CO"/>
        </w:rPr>
        <w:drawing>
          <wp:anchor distT="0" distB="0" distL="114300" distR="114300" simplePos="0" relativeHeight="251700479" behindDoc="0" locked="0" layoutInCell="1" allowOverlap="1" wp14:anchorId="091E304C" wp14:editId="662F87E8">
            <wp:simplePos x="0" y="0"/>
            <wp:positionH relativeFrom="column">
              <wp:posOffset>81915</wp:posOffset>
            </wp:positionH>
            <wp:positionV relativeFrom="paragraph">
              <wp:posOffset>260350</wp:posOffset>
            </wp:positionV>
            <wp:extent cx="5410200" cy="1800225"/>
            <wp:effectExtent l="0" t="0" r="0" b="0"/>
            <wp:wrapSquare wrapText="bothSides"/>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Pr="009F4120">
        <w:rPr>
          <w:rFonts w:cs="Arial"/>
          <w:b/>
          <w:bCs/>
          <w:sz w:val="18"/>
          <w:szCs w:val="18"/>
          <w:lang w:val="es-CO"/>
        </w:rPr>
        <w:t>Gráfico 3: Comportam</w:t>
      </w:r>
      <w:r>
        <w:rPr>
          <w:rFonts w:cs="Arial"/>
          <w:b/>
          <w:bCs/>
          <w:sz w:val="18"/>
          <w:szCs w:val="18"/>
          <w:lang w:val="es-CO"/>
        </w:rPr>
        <w:t xml:space="preserve">iento histórico </w:t>
      </w:r>
      <w:r w:rsidRPr="009F4120">
        <w:rPr>
          <w:rFonts w:cs="Arial"/>
          <w:b/>
          <w:bCs/>
          <w:sz w:val="18"/>
          <w:szCs w:val="18"/>
          <w:lang w:val="es-CO"/>
        </w:rPr>
        <w:t>apropiación final para sentencias y conciliaciones</w:t>
      </w:r>
      <w:r>
        <w:rPr>
          <w:rFonts w:cs="Arial"/>
          <w:b/>
          <w:bCs/>
          <w:sz w:val="18"/>
          <w:szCs w:val="18"/>
          <w:lang w:val="es-CO"/>
        </w:rPr>
        <w:t xml:space="preserve"> ($ constante 2013) </w:t>
      </w:r>
    </w:p>
    <w:p w14:paraId="231F453D" w14:textId="77777777" w:rsidR="003B41C3" w:rsidRPr="00C7331E" w:rsidRDefault="003B41C3" w:rsidP="003B41C3">
      <w:pPr>
        <w:ind w:right="-283"/>
        <w:jc w:val="center"/>
        <w:rPr>
          <w:rFonts w:cs="Arial"/>
          <w:sz w:val="16"/>
          <w:szCs w:val="16"/>
        </w:rPr>
      </w:pPr>
      <w:r w:rsidRPr="00C7331E">
        <w:rPr>
          <w:rFonts w:cs="Arial"/>
          <w:b/>
          <w:bCs/>
          <w:sz w:val="18"/>
          <w:szCs w:val="18"/>
          <w:lang w:val="es-CO"/>
        </w:rPr>
        <w:t xml:space="preserve">Fuente: </w:t>
      </w:r>
      <w:r w:rsidRPr="00C7331E">
        <w:rPr>
          <w:rFonts w:cs="Arial"/>
          <w:b/>
          <w:sz w:val="18"/>
          <w:szCs w:val="18"/>
        </w:rPr>
        <w:t xml:space="preserve">Reportes de la Dirección General de Presupuesto Público Nacional del MHCP y Sistema Integrado de Información Financiera de la Nación- Cálculos: DGI-ANDJE. *2013: </w:t>
      </w:r>
      <w:r w:rsidRPr="006B71FB">
        <w:rPr>
          <w:rFonts w:cs="Arial"/>
          <w:b/>
          <w:sz w:val="18"/>
          <w:szCs w:val="18"/>
        </w:rPr>
        <w:t>acumulado a</w:t>
      </w:r>
      <w:r w:rsidRPr="006B71FB">
        <w:rPr>
          <w:rFonts w:cs="Arial"/>
          <w:sz w:val="18"/>
          <w:szCs w:val="18"/>
        </w:rPr>
        <w:t xml:space="preserve"> Agosto</w:t>
      </w:r>
    </w:p>
    <w:p w14:paraId="01AFEE69" w14:textId="77777777" w:rsidR="003B41C3" w:rsidRDefault="003B41C3" w:rsidP="003B41C3">
      <w:pPr>
        <w:ind w:right="-283"/>
        <w:contextualSpacing/>
        <w:jc w:val="both"/>
        <w:rPr>
          <w:rFonts w:cs="Arial"/>
          <w:bCs/>
        </w:rPr>
      </w:pPr>
    </w:p>
    <w:p w14:paraId="5559DCED" w14:textId="77777777" w:rsidR="003B41C3" w:rsidRPr="009F4120" w:rsidRDefault="003B41C3" w:rsidP="003B41C3">
      <w:pPr>
        <w:ind w:right="-283"/>
        <w:contextualSpacing/>
        <w:jc w:val="both"/>
        <w:rPr>
          <w:rFonts w:cs="Arial"/>
          <w:bCs/>
        </w:rPr>
      </w:pPr>
      <w:r w:rsidRPr="009F4120">
        <w:rPr>
          <w:rFonts w:cs="Arial"/>
          <w:bCs/>
        </w:rPr>
        <w:t xml:space="preserve">El tercer factor relevante para analizar son las adiciones presupuestales que en general reflejan los problemas de planeación existentes en las Entidades públicas y dificultan las proyecciones de las finanzas públicas en el corto y mediano plazo. Entre el 2008 y el 2011 las adiciones se mantuvieron relativamente bajas, pero durante el 2012 evidenciaron un incremento significativo de 30.2% (Gráfico 4). Durante el año en curso la situación no parece ser favorable tampoco </w:t>
      </w:r>
      <w:r>
        <w:rPr>
          <w:rFonts w:cs="Arial"/>
          <w:bCs/>
        </w:rPr>
        <w:t>-</w:t>
      </w:r>
      <w:r w:rsidRPr="009F4120">
        <w:rPr>
          <w:rFonts w:cs="Arial"/>
          <w:bCs/>
        </w:rPr>
        <w:t>para Agosto la apropiación inicial tuvo adiciones por $125.129 millones (13% de apropiación inicial) alcanzando $1.07 billones</w:t>
      </w:r>
      <w:r>
        <w:rPr>
          <w:rFonts w:cs="Arial"/>
          <w:bCs/>
        </w:rPr>
        <w:t>-</w:t>
      </w:r>
      <w:r w:rsidRPr="009F4120">
        <w:rPr>
          <w:rFonts w:cs="Arial"/>
          <w:bCs/>
        </w:rPr>
        <w:t>.</w:t>
      </w:r>
    </w:p>
    <w:p w14:paraId="737D656F" w14:textId="77777777" w:rsidR="003B41C3" w:rsidRDefault="003B41C3" w:rsidP="003B41C3">
      <w:pPr>
        <w:ind w:right="-283"/>
        <w:contextualSpacing/>
        <w:jc w:val="both"/>
        <w:rPr>
          <w:rFonts w:cs="Arial"/>
          <w:bCs/>
        </w:rPr>
      </w:pPr>
    </w:p>
    <w:p w14:paraId="2CA95567" w14:textId="77777777" w:rsidR="003B41C3" w:rsidRDefault="003B41C3" w:rsidP="003B41C3">
      <w:pPr>
        <w:ind w:right="-283"/>
        <w:contextualSpacing/>
        <w:jc w:val="both"/>
        <w:rPr>
          <w:rFonts w:cs="Arial"/>
          <w:bCs/>
        </w:rPr>
      </w:pPr>
    </w:p>
    <w:p w14:paraId="773E107B" w14:textId="77777777" w:rsidR="003B41C3" w:rsidRPr="009F4120" w:rsidRDefault="003B41C3" w:rsidP="003B41C3">
      <w:pPr>
        <w:ind w:right="-283"/>
        <w:contextualSpacing/>
        <w:jc w:val="both"/>
        <w:rPr>
          <w:rFonts w:cs="Arial"/>
          <w:bCs/>
        </w:rPr>
      </w:pPr>
    </w:p>
    <w:p w14:paraId="230B2423" w14:textId="77777777" w:rsidR="003B41C3" w:rsidRDefault="003B41C3" w:rsidP="003B41C3">
      <w:pPr>
        <w:ind w:right="-283"/>
        <w:contextualSpacing/>
        <w:jc w:val="center"/>
        <w:rPr>
          <w:rFonts w:cs="Arial"/>
          <w:b/>
          <w:bCs/>
          <w:sz w:val="18"/>
          <w:szCs w:val="18"/>
          <w:lang w:val="es-CO"/>
        </w:rPr>
      </w:pPr>
    </w:p>
    <w:p w14:paraId="7D762A74" w14:textId="77777777" w:rsidR="003B41C3" w:rsidRPr="00C7331E" w:rsidRDefault="003B41C3" w:rsidP="003B41C3">
      <w:pPr>
        <w:ind w:right="-283"/>
        <w:contextualSpacing/>
        <w:jc w:val="center"/>
        <w:rPr>
          <w:rFonts w:cs="Arial"/>
          <w:lang w:val="es-CO"/>
        </w:rPr>
      </w:pPr>
      <w:r w:rsidRPr="009F4120">
        <w:rPr>
          <w:rFonts w:cs="Arial"/>
          <w:b/>
          <w:bCs/>
          <w:sz w:val="18"/>
          <w:szCs w:val="18"/>
          <w:lang w:val="es-CO"/>
        </w:rPr>
        <w:t xml:space="preserve">Gráfico 4: Comportamiento histórico de las adiciones </w:t>
      </w:r>
      <w:r>
        <w:rPr>
          <w:rFonts w:cs="Arial"/>
          <w:b/>
          <w:bCs/>
          <w:sz w:val="18"/>
          <w:szCs w:val="18"/>
          <w:lang w:val="es-CO"/>
        </w:rPr>
        <w:t>p</w:t>
      </w:r>
      <w:r w:rsidRPr="009F4120">
        <w:rPr>
          <w:rFonts w:cs="Arial"/>
          <w:b/>
          <w:bCs/>
          <w:sz w:val="18"/>
          <w:szCs w:val="18"/>
          <w:lang w:val="es-CO"/>
        </w:rPr>
        <w:t>resupuestales ($ constantes de 2013)</w:t>
      </w:r>
      <w:r>
        <w:rPr>
          <w:rFonts w:cs="Arial"/>
          <w:b/>
          <w:bCs/>
          <w:sz w:val="18"/>
          <w:szCs w:val="18"/>
          <w:lang w:val="es-CO"/>
        </w:rPr>
        <w:t xml:space="preserve"> </w:t>
      </w:r>
      <w:r w:rsidRPr="00C7331E">
        <w:rPr>
          <w:rFonts w:cs="Arial"/>
        </w:rPr>
        <w:t xml:space="preserve"> </w:t>
      </w:r>
    </w:p>
    <w:p w14:paraId="394798E1" w14:textId="77777777" w:rsidR="003B41C3" w:rsidRDefault="003B41C3" w:rsidP="003B41C3">
      <w:pPr>
        <w:ind w:right="-283"/>
        <w:rPr>
          <w:rFonts w:cs="Arial"/>
          <w:b/>
          <w:bCs/>
          <w:sz w:val="20"/>
          <w:lang w:val="es-CO"/>
        </w:rPr>
      </w:pPr>
      <w:r w:rsidRPr="00C7331E">
        <w:rPr>
          <w:rFonts w:cs="Arial"/>
          <w:noProof/>
          <w:lang w:val="es-CO" w:eastAsia="es-CO"/>
        </w:rPr>
        <w:drawing>
          <wp:anchor distT="0" distB="0" distL="114300" distR="114300" simplePos="0" relativeHeight="251699455" behindDoc="0" locked="0" layoutInCell="1" allowOverlap="1" wp14:anchorId="487DC73E" wp14:editId="1C5167F2">
            <wp:simplePos x="0" y="0"/>
            <wp:positionH relativeFrom="margin">
              <wp:align>left</wp:align>
            </wp:positionH>
            <wp:positionV relativeFrom="paragraph">
              <wp:posOffset>241300</wp:posOffset>
            </wp:positionV>
            <wp:extent cx="5429250" cy="2657475"/>
            <wp:effectExtent l="0" t="0" r="0" b="0"/>
            <wp:wrapSquare wrapText="bothSides"/>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AC0C995" w14:textId="77777777" w:rsidR="003B41C3" w:rsidRPr="00FC6E47" w:rsidRDefault="003B41C3" w:rsidP="003B41C3">
      <w:pPr>
        <w:ind w:right="-283"/>
        <w:jc w:val="both"/>
        <w:rPr>
          <w:rFonts w:cs="Arial"/>
          <w:sz w:val="18"/>
          <w:szCs w:val="18"/>
        </w:rPr>
      </w:pPr>
      <w:r w:rsidRPr="00FC6E47">
        <w:rPr>
          <w:rFonts w:cs="Arial"/>
          <w:b/>
          <w:bCs/>
          <w:sz w:val="18"/>
          <w:szCs w:val="18"/>
          <w:lang w:val="es-CO"/>
        </w:rPr>
        <w:t xml:space="preserve">Fuente: </w:t>
      </w:r>
      <w:r w:rsidRPr="00FC6E47">
        <w:rPr>
          <w:rFonts w:cs="Arial"/>
          <w:b/>
          <w:sz w:val="18"/>
          <w:szCs w:val="18"/>
        </w:rPr>
        <w:t>Reportes de la Dirección General de Presupuesto Público Nacional del MHCP y Sistema Integrado de Información Financiera de la Nación- Cálculos: DGI-ANDJE. *2013: acumulado a agosto</w:t>
      </w:r>
      <w:r w:rsidRPr="00FC6E47">
        <w:rPr>
          <w:rFonts w:cs="Arial"/>
          <w:b/>
          <w:bCs/>
          <w:sz w:val="18"/>
          <w:szCs w:val="18"/>
          <w:lang w:val="es-CO"/>
        </w:rPr>
        <w:t xml:space="preserve">    </w:t>
      </w:r>
      <w:r w:rsidRPr="00FC6E47">
        <w:rPr>
          <w:rFonts w:cs="Arial"/>
          <w:sz w:val="18"/>
          <w:szCs w:val="18"/>
        </w:rPr>
        <w:t xml:space="preserve">                                                                                          </w:t>
      </w:r>
    </w:p>
    <w:p w14:paraId="21020471" w14:textId="77777777" w:rsidR="003B41C3" w:rsidRPr="00C7331E" w:rsidRDefault="003B41C3" w:rsidP="003B41C3">
      <w:pPr>
        <w:ind w:right="-283"/>
        <w:jc w:val="both"/>
        <w:rPr>
          <w:rFonts w:cs="Arial"/>
        </w:rPr>
      </w:pPr>
    </w:p>
    <w:p w14:paraId="65711613" w14:textId="77777777" w:rsidR="003B41C3" w:rsidRPr="00C7331E" w:rsidRDefault="003B41C3" w:rsidP="003B41C3">
      <w:pPr>
        <w:ind w:right="-283"/>
        <w:jc w:val="both"/>
        <w:rPr>
          <w:rFonts w:cs="Arial"/>
        </w:rPr>
      </w:pPr>
      <w:r w:rsidRPr="00C7331E">
        <w:rPr>
          <w:rFonts w:cs="Arial"/>
        </w:rPr>
        <w:t xml:space="preserve">Entidades como el Fondo de Adaptación, la Dirección Nacional de Derechos de Autor, el Instituto de Casas Fiscales del Ejército, el Ministerio de Ambiente, la Agencia Colombiana para la Reintegración de Personas y Grupos Alzados en Armas, y la Autoridad Nacional de Televisión, no </w:t>
      </w:r>
      <w:r>
        <w:rPr>
          <w:rFonts w:cs="Arial"/>
        </w:rPr>
        <w:t>les fueron asignados</w:t>
      </w:r>
      <w:r w:rsidRPr="00C7331E">
        <w:rPr>
          <w:rFonts w:cs="Arial"/>
        </w:rPr>
        <w:t xml:space="preserve"> recursos para el pago de sentencias y conciliaciones para el inicio del año y posteriormente realizaron adiciones. Sin embargo, el Ministerio de Minas, la Superintendencia de Puertos y Transportes, el Instituto Geográfico Agustín Codazzi, el Departamento Administrativo Nacional de Estadística, la Corporación Autónoma Regional del Cauca y la Caja de Retiro de las Fuerzas Militares realizaron los mayores incrementos de sus presupuestos como proporción de su apropiación inicial con aumentos de 3.831%, 1.036%, 299%, 236%, 200% y 183%, respectivamente. </w:t>
      </w:r>
    </w:p>
    <w:p w14:paraId="3E68CB7E" w14:textId="77777777" w:rsidR="003B41C3" w:rsidRDefault="003B41C3" w:rsidP="003B41C3">
      <w:pPr>
        <w:ind w:right="-283"/>
        <w:jc w:val="both"/>
        <w:rPr>
          <w:rFonts w:cs="Arial"/>
          <w:lang w:val="es-CO"/>
        </w:rPr>
      </w:pPr>
      <w:r w:rsidRPr="00C7331E">
        <w:rPr>
          <w:rFonts w:cs="Arial"/>
          <w:lang w:val="es-CO"/>
        </w:rPr>
        <w:t>De lo anterior se concluyen dos aspectos</w:t>
      </w:r>
      <w:r>
        <w:rPr>
          <w:rFonts w:cs="Arial"/>
          <w:lang w:val="es-CO"/>
        </w:rPr>
        <w:t>:</w:t>
      </w:r>
      <w:r w:rsidRPr="00C7331E">
        <w:rPr>
          <w:rFonts w:cs="Arial"/>
          <w:lang w:val="es-CO"/>
        </w:rPr>
        <w:t xml:space="preserve"> El primero de ellos evidencia los sectores hacia los cuales se deben enfocar esfuerzos para mitigar las demandas en contra del Estado</w:t>
      </w:r>
      <w:r>
        <w:rPr>
          <w:rFonts w:cs="Arial"/>
          <w:lang w:val="es-CO"/>
        </w:rPr>
        <w:t xml:space="preserve">: </w:t>
      </w:r>
      <w:r w:rsidRPr="00C7331E">
        <w:rPr>
          <w:rFonts w:cs="Arial"/>
          <w:lang w:val="es-CO"/>
        </w:rPr>
        <w:t>Seguridad y Defensa, Fiscalía y Transporte, con sus diferentes problemáticas.</w:t>
      </w:r>
      <w:r>
        <w:rPr>
          <w:rFonts w:cs="Arial"/>
          <w:lang w:val="es-CO"/>
        </w:rPr>
        <w:t xml:space="preserve"> </w:t>
      </w:r>
      <w:r w:rsidRPr="00C7331E">
        <w:rPr>
          <w:rFonts w:cs="Arial"/>
          <w:lang w:val="es-CO"/>
        </w:rPr>
        <w:t xml:space="preserve">El segundo aspecto corresponde a un llamado de atención a las entidades para realizar una mejor planeación y estimación de los recursos a solicitar en cada vigencia para el pago de sus sentencias y conciliaciones, con el objetivo de reflejar la situación real y reducir los costos adicionales en los que puedan incurrir </w:t>
      </w:r>
      <w:r>
        <w:rPr>
          <w:rFonts w:cs="Arial"/>
          <w:lang w:val="es-CO"/>
        </w:rPr>
        <w:t xml:space="preserve">la Nación </w:t>
      </w:r>
      <w:r w:rsidRPr="00C7331E">
        <w:rPr>
          <w:rFonts w:cs="Arial"/>
          <w:lang w:val="es-CO"/>
        </w:rPr>
        <w:t xml:space="preserve">por concepto </w:t>
      </w:r>
      <w:r>
        <w:rPr>
          <w:rFonts w:cs="Arial"/>
          <w:lang w:val="es-CO"/>
        </w:rPr>
        <w:t xml:space="preserve">de adiciones presupuestales durante las vigencias y </w:t>
      </w:r>
      <w:r w:rsidRPr="00C7331E">
        <w:rPr>
          <w:rFonts w:cs="Arial"/>
          <w:lang w:val="es-CO"/>
        </w:rPr>
        <w:t>del pago de intereses.</w:t>
      </w:r>
    </w:p>
    <w:p w14:paraId="55536C86" w14:textId="77777777" w:rsidR="003B41C3" w:rsidRDefault="003B41C3" w:rsidP="003B41C3">
      <w:pPr>
        <w:ind w:right="-283"/>
        <w:jc w:val="both"/>
        <w:rPr>
          <w:rFonts w:cs="Arial"/>
          <w:lang w:val="es-CO"/>
        </w:rPr>
      </w:pPr>
    </w:p>
    <w:p w14:paraId="7C774304" w14:textId="77777777" w:rsidR="003B41C3" w:rsidRDefault="003B41C3" w:rsidP="003B41C3">
      <w:pPr>
        <w:ind w:right="-283"/>
        <w:jc w:val="both"/>
        <w:rPr>
          <w:rFonts w:cs="Arial"/>
          <w:lang w:val="es-CO"/>
        </w:rPr>
      </w:pPr>
    </w:p>
    <w:p w14:paraId="0652F7B4" w14:textId="77777777" w:rsidR="003B41C3" w:rsidRPr="00A4018C" w:rsidRDefault="003B41C3" w:rsidP="003B41C3">
      <w:pPr>
        <w:pStyle w:val="Prrafodelista"/>
        <w:numPr>
          <w:ilvl w:val="1"/>
          <w:numId w:val="7"/>
        </w:numPr>
        <w:ind w:left="0" w:right="-283" w:firstLine="0"/>
        <w:jc w:val="both"/>
        <w:rPr>
          <w:rFonts w:cs="Arial"/>
          <w:lang w:val="es-CO"/>
        </w:rPr>
      </w:pPr>
      <w:r w:rsidRPr="00A4018C">
        <w:rPr>
          <w:rFonts w:cs="Arial"/>
          <w:b/>
          <w:lang w:val="es-CO"/>
        </w:rPr>
        <w:t>Pasivo Contingente</w:t>
      </w:r>
      <w:r w:rsidRPr="00A4018C">
        <w:rPr>
          <w:rFonts w:cs="Arial"/>
          <w:lang w:val="es-CO"/>
        </w:rPr>
        <w:t xml:space="preserve"> </w:t>
      </w:r>
    </w:p>
    <w:p w14:paraId="37F5629F" w14:textId="77777777" w:rsidR="003B41C3" w:rsidRPr="00C7331E" w:rsidRDefault="003B41C3" w:rsidP="003B41C3">
      <w:pPr>
        <w:ind w:right="-283"/>
        <w:jc w:val="both"/>
        <w:rPr>
          <w:rFonts w:cs="Arial"/>
          <w:lang w:val="es-CO"/>
        </w:rPr>
      </w:pPr>
      <w:r w:rsidRPr="00C7331E">
        <w:rPr>
          <w:rFonts w:cs="Arial"/>
          <w:lang w:val="es-CO"/>
        </w:rPr>
        <w:t>A partir de la Ley 448 de 1998 se reglamentó la gestión y manejo de los pasivos contingentes de la Nación dado el impacto que dichas obligaciones pueden tener sobre las finanzas públicas del Estado. En consecuencia, el Ministerio de Hacienda y Crédito Público, a través de la Dirección General de Crédito Público y Tesoro Nacional, ha venido diseñando políticas para identificar, valorar y mitigar este tipo de obligaciones judiciales derivadas de procesos judiciales en contra de la Nación.</w:t>
      </w:r>
    </w:p>
    <w:p w14:paraId="5BD54A5F" w14:textId="77777777" w:rsidR="003B41C3" w:rsidRPr="00C7331E" w:rsidRDefault="003B41C3" w:rsidP="003B41C3">
      <w:pPr>
        <w:ind w:right="-283"/>
        <w:jc w:val="both"/>
        <w:rPr>
          <w:rFonts w:cs="Arial"/>
          <w:lang w:val="es-CO"/>
        </w:rPr>
      </w:pPr>
      <w:r w:rsidRPr="00C7331E">
        <w:rPr>
          <w:rFonts w:cs="Arial"/>
          <w:lang w:val="es-CO"/>
        </w:rPr>
        <w:t>El pasivo contingente por la actividad litigiosa se deriva de las indemnizaciones a terceros, que se generan como producto de los fallos de los procesos en contra del Estado. La contabilización y seguimiento de los diferentes pasivos contingentes de la Nación se realiza desde el año 2004 cuando el Ministerio de Hacienda y Crédito Público comenzó a incluir los impactos de estas obligaciones sobre las finanzas del Estado en el Marco Fiscal de Mediano Plazo.</w:t>
      </w:r>
    </w:p>
    <w:p w14:paraId="20930BD6" w14:textId="77777777" w:rsidR="003B41C3" w:rsidRPr="00C7331E" w:rsidRDefault="003B41C3" w:rsidP="003B41C3">
      <w:pPr>
        <w:ind w:right="-283"/>
        <w:jc w:val="both"/>
        <w:rPr>
          <w:rFonts w:cs="Arial"/>
          <w:b/>
          <w:bCs/>
          <w:sz w:val="20"/>
          <w:szCs w:val="20"/>
          <w:lang w:val="es-CO"/>
        </w:rPr>
      </w:pPr>
      <w:r w:rsidRPr="00C7331E">
        <w:rPr>
          <w:rFonts w:cs="Arial"/>
          <w:lang w:val="es-CO"/>
        </w:rPr>
        <w:t>Como se observa en la gráfica 5</w:t>
      </w:r>
      <w:r>
        <w:rPr>
          <w:rFonts w:cs="Arial"/>
          <w:lang w:val="es-CO"/>
        </w:rPr>
        <w:t>,</w:t>
      </w:r>
      <w:r w:rsidRPr="00C7331E">
        <w:rPr>
          <w:rFonts w:cs="Arial"/>
          <w:lang w:val="es-CO"/>
        </w:rPr>
        <w:t xml:space="preserve"> no se tiene una senda clara respecto </w:t>
      </w:r>
      <w:r>
        <w:rPr>
          <w:rFonts w:cs="Arial"/>
          <w:lang w:val="es-CO"/>
        </w:rPr>
        <w:t>del</w:t>
      </w:r>
      <w:r w:rsidRPr="00C7331E">
        <w:rPr>
          <w:rFonts w:cs="Arial"/>
          <w:lang w:val="es-CO"/>
        </w:rPr>
        <w:t xml:space="preserve"> comportamiento del pasivo contingente judicial durante el per</w:t>
      </w:r>
      <w:r>
        <w:rPr>
          <w:rFonts w:cs="Arial"/>
          <w:lang w:val="es-CO"/>
        </w:rPr>
        <w:t>í</w:t>
      </w:r>
      <w:r w:rsidRPr="00C7331E">
        <w:rPr>
          <w:rFonts w:cs="Arial"/>
          <w:lang w:val="es-CO"/>
        </w:rPr>
        <w:t>odo 2004-2013</w:t>
      </w:r>
      <w:r>
        <w:rPr>
          <w:rFonts w:cs="Arial"/>
          <w:lang w:val="es-CO"/>
        </w:rPr>
        <w:t>,</w:t>
      </w:r>
      <w:r w:rsidRPr="00C7331E">
        <w:rPr>
          <w:rFonts w:cs="Arial"/>
          <w:lang w:val="es-CO"/>
        </w:rPr>
        <w:t xml:space="preserve"> por tres razones principales. </w:t>
      </w:r>
    </w:p>
    <w:p w14:paraId="4439C4BE" w14:textId="77777777" w:rsidR="003B41C3" w:rsidRPr="00A8372D" w:rsidRDefault="003B41C3" w:rsidP="003B41C3">
      <w:pPr>
        <w:ind w:right="-283"/>
        <w:jc w:val="both"/>
        <w:rPr>
          <w:rFonts w:cs="Arial"/>
          <w:bCs/>
          <w:lang w:val="es-CO"/>
        </w:rPr>
      </w:pPr>
      <w:r w:rsidRPr="00A8372D">
        <w:rPr>
          <w:rFonts w:cs="Arial"/>
          <w:bCs/>
          <w:lang w:val="es-CO"/>
        </w:rPr>
        <w:t>En primer lugar, tanto la calidad como la cantidad de la información reportada a principios de la década eran de poca confiabilidad debido al bajo compromiso por parte de las entidades públicas a reportar su situación litigiosa, lo que en general ha dificultado las estimaciones</w:t>
      </w:r>
      <w:r>
        <w:rPr>
          <w:rFonts w:cs="Arial"/>
          <w:bCs/>
          <w:lang w:val="es-CO"/>
        </w:rPr>
        <w:t xml:space="preserve">. </w:t>
      </w:r>
      <w:r w:rsidRPr="00A8372D">
        <w:rPr>
          <w:rFonts w:cs="Arial"/>
          <w:bCs/>
          <w:lang w:val="es-CO"/>
        </w:rPr>
        <w:t xml:space="preserve">Esta situación se ha ido superando con la existencia del </w:t>
      </w:r>
      <w:r w:rsidRPr="00A8372D">
        <w:rPr>
          <w:rFonts w:cs="Arial"/>
          <w:b/>
          <w:bCs/>
          <w:i/>
          <w:lang w:val="es-CO"/>
        </w:rPr>
        <w:t>Sistema Único de Gestión e Información Litigiosa del Estado</w:t>
      </w:r>
      <w:r w:rsidRPr="00A8372D">
        <w:rPr>
          <w:rFonts w:cs="Arial"/>
          <w:bCs/>
          <w:lang w:val="es-CO"/>
        </w:rPr>
        <w:t>, administrado por la ANDJE desde 2012</w:t>
      </w:r>
      <w:r w:rsidRPr="00A8372D">
        <w:rPr>
          <w:rFonts w:cs="Arial"/>
          <w:bCs/>
          <w:vertAlign w:val="superscript"/>
          <w:lang w:val="es-CO"/>
        </w:rPr>
        <w:footnoteReference w:id="4"/>
      </w:r>
      <w:r w:rsidRPr="00A8372D">
        <w:rPr>
          <w:rFonts w:cs="Arial"/>
          <w:bCs/>
          <w:lang w:val="es-CO"/>
        </w:rPr>
        <w:t>.</w:t>
      </w:r>
    </w:p>
    <w:p w14:paraId="773D891B" w14:textId="77777777" w:rsidR="003B41C3" w:rsidRPr="00A8372D" w:rsidRDefault="003B41C3" w:rsidP="003B41C3">
      <w:pPr>
        <w:ind w:right="-283"/>
        <w:jc w:val="center"/>
        <w:rPr>
          <w:rFonts w:cs="Arial"/>
          <w:b/>
          <w:color w:val="FF0000"/>
          <w:sz w:val="18"/>
          <w:szCs w:val="18"/>
          <w:lang w:val="es-CO"/>
        </w:rPr>
      </w:pPr>
      <w:r w:rsidRPr="00A8372D">
        <w:rPr>
          <w:rFonts w:cs="Arial"/>
          <w:b/>
          <w:bCs/>
          <w:sz w:val="18"/>
          <w:szCs w:val="18"/>
          <w:lang w:val="es-CO"/>
        </w:rPr>
        <w:t>Gráfico 5: Evolución del pasivo contingente</w:t>
      </w:r>
      <w:r>
        <w:rPr>
          <w:rFonts w:cs="Arial"/>
          <w:b/>
          <w:bCs/>
          <w:sz w:val="18"/>
          <w:szCs w:val="18"/>
          <w:lang w:val="es-CO"/>
        </w:rPr>
        <w:t xml:space="preserve"> </w:t>
      </w:r>
    </w:p>
    <w:p w14:paraId="0EC1DA15" w14:textId="77777777" w:rsidR="003B41C3" w:rsidRDefault="003B41C3" w:rsidP="003B41C3">
      <w:pPr>
        <w:ind w:right="-283"/>
        <w:jc w:val="both"/>
        <w:rPr>
          <w:rFonts w:cs="Arial"/>
          <w:lang w:val="es-CO"/>
        </w:rPr>
      </w:pPr>
      <w:r w:rsidRPr="00C7331E">
        <w:rPr>
          <w:rFonts w:cs="Arial"/>
          <w:noProof/>
          <w:lang w:val="es-CO" w:eastAsia="es-CO"/>
        </w:rPr>
        <w:drawing>
          <wp:anchor distT="0" distB="0" distL="114300" distR="114300" simplePos="0" relativeHeight="251701503" behindDoc="0" locked="0" layoutInCell="1" allowOverlap="1" wp14:anchorId="7A0D8142" wp14:editId="7324B2B7">
            <wp:simplePos x="0" y="0"/>
            <wp:positionH relativeFrom="margin">
              <wp:posOffset>139065</wp:posOffset>
            </wp:positionH>
            <wp:positionV relativeFrom="paragraph">
              <wp:posOffset>17145</wp:posOffset>
            </wp:positionV>
            <wp:extent cx="5124450" cy="2105025"/>
            <wp:effectExtent l="0" t="0" r="0" b="0"/>
            <wp:wrapSquare wrapText="bothSides"/>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C7331E">
        <w:rPr>
          <w:rFonts w:cs="Arial"/>
          <w:lang w:val="es-CO"/>
        </w:rPr>
        <w:t xml:space="preserve"> </w:t>
      </w:r>
    </w:p>
    <w:p w14:paraId="3DD8021D" w14:textId="77777777" w:rsidR="003B41C3" w:rsidRDefault="003B41C3" w:rsidP="003B41C3">
      <w:pPr>
        <w:ind w:right="-283"/>
        <w:jc w:val="both"/>
        <w:rPr>
          <w:rFonts w:cs="Arial"/>
          <w:lang w:val="es-CO"/>
        </w:rPr>
      </w:pPr>
    </w:p>
    <w:p w14:paraId="22D5EC00" w14:textId="77777777" w:rsidR="003B41C3" w:rsidRDefault="003B41C3" w:rsidP="003B41C3">
      <w:pPr>
        <w:ind w:right="-283"/>
        <w:jc w:val="both"/>
        <w:rPr>
          <w:rFonts w:cs="Arial"/>
          <w:lang w:val="es-CO"/>
        </w:rPr>
      </w:pPr>
    </w:p>
    <w:p w14:paraId="03CB9133" w14:textId="77777777" w:rsidR="003B41C3" w:rsidRDefault="003B41C3" w:rsidP="003B41C3">
      <w:pPr>
        <w:ind w:right="-283"/>
        <w:jc w:val="both"/>
        <w:rPr>
          <w:rFonts w:cs="Arial"/>
          <w:lang w:val="es-CO"/>
        </w:rPr>
      </w:pPr>
    </w:p>
    <w:p w14:paraId="338DF2CC" w14:textId="77777777" w:rsidR="003B41C3" w:rsidRDefault="003B41C3" w:rsidP="003B41C3">
      <w:pPr>
        <w:ind w:right="-283"/>
        <w:jc w:val="both"/>
        <w:rPr>
          <w:rFonts w:cs="Arial"/>
          <w:lang w:val="es-CO"/>
        </w:rPr>
      </w:pPr>
    </w:p>
    <w:p w14:paraId="67A84876" w14:textId="77777777" w:rsidR="003B41C3" w:rsidRPr="00C7331E" w:rsidRDefault="003B41C3" w:rsidP="003B41C3">
      <w:pPr>
        <w:ind w:right="-283"/>
        <w:jc w:val="both"/>
        <w:rPr>
          <w:rFonts w:cs="Arial"/>
          <w:lang w:val="es-CO"/>
        </w:rPr>
      </w:pPr>
    </w:p>
    <w:p w14:paraId="3DF0B43A" w14:textId="77777777" w:rsidR="003B41C3" w:rsidRDefault="003B41C3" w:rsidP="003B41C3">
      <w:pPr>
        <w:pStyle w:val="Textonotapie"/>
        <w:ind w:right="-283"/>
        <w:jc w:val="center"/>
        <w:rPr>
          <w:rFonts w:cs="Arial"/>
          <w:bCs/>
          <w:sz w:val="18"/>
          <w:szCs w:val="18"/>
          <w:lang w:val="es-CO"/>
        </w:rPr>
      </w:pPr>
    </w:p>
    <w:p w14:paraId="563EFB59" w14:textId="77777777" w:rsidR="003B41C3" w:rsidRDefault="003B41C3" w:rsidP="003B41C3">
      <w:pPr>
        <w:pStyle w:val="Textonotapie"/>
        <w:ind w:right="-283"/>
        <w:jc w:val="center"/>
        <w:rPr>
          <w:rFonts w:cs="Arial"/>
          <w:b/>
          <w:bCs/>
          <w:sz w:val="18"/>
          <w:szCs w:val="18"/>
          <w:lang w:val="es-CO"/>
        </w:rPr>
      </w:pPr>
    </w:p>
    <w:p w14:paraId="493D5CD9" w14:textId="77777777" w:rsidR="003B41C3" w:rsidRDefault="003B41C3" w:rsidP="003B41C3">
      <w:pPr>
        <w:pStyle w:val="Textonotapie"/>
        <w:ind w:right="-283"/>
        <w:jc w:val="center"/>
        <w:rPr>
          <w:rFonts w:cs="Arial"/>
          <w:b/>
          <w:bCs/>
          <w:sz w:val="18"/>
          <w:szCs w:val="18"/>
          <w:lang w:val="es-CO"/>
        </w:rPr>
      </w:pPr>
    </w:p>
    <w:p w14:paraId="521FD0AA" w14:textId="77777777" w:rsidR="003B41C3" w:rsidRPr="00A8372D" w:rsidRDefault="003B41C3" w:rsidP="003B41C3">
      <w:pPr>
        <w:pStyle w:val="Textonotapie"/>
        <w:ind w:right="-283"/>
        <w:jc w:val="center"/>
        <w:rPr>
          <w:rFonts w:cs="Arial"/>
          <w:b/>
          <w:sz w:val="18"/>
          <w:szCs w:val="18"/>
          <w:lang w:val="es-CO"/>
        </w:rPr>
      </w:pPr>
      <w:r w:rsidRPr="00A8372D">
        <w:rPr>
          <w:rFonts w:cs="Arial"/>
          <w:b/>
          <w:bCs/>
          <w:sz w:val="18"/>
          <w:szCs w:val="18"/>
          <w:lang w:val="es-CO"/>
        </w:rPr>
        <w:t xml:space="preserve">Fuente: </w:t>
      </w:r>
      <w:r w:rsidRPr="00A8372D">
        <w:rPr>
          <w:rFonts w:cs="Arial"/>
          <w:b/>
          <w:sz w:val="18"/>
          <w:szCs w:val="18"/>
          <w:lang w:val="es-CO"/>
        </w:rPr>
        <w:t>Cálculos de la Subdirección de Riesgo de la Dirección General de</w:t>
      </w:r>
      <w:r>
        <w:rPr>
          <w:rFonts w:cs="Arial"/>
          <w:b/>
          <w:sz w:val="18"/>
          <w:szCs w:val="18"/>
          <w:lang w:val="es-CO"/>
        </w:rPr>
        <w:t xml:space="preserve"> </w:t>
      </w:r>
      <w:r w:rsidRPr="00A8372D">
        <w:rPr>
          <w:rFonts w:cs="Arial"/>
          <w:b/>
          <w:sz w:val="18"/>
          <w:szCs w:val="18"/>
          <w:lang w:val="es-CO"/>
        </w:rPr>
        <w:t>Crédito Público y Tesoro Nacional encargada de la metodología</w:t>
      </w:r>
      <w:r>
        <w:rPr>
          <w:rFonts w:cs="Arial"/>
          <w:b/>
          <w:sz w:val="18"/>
          <w:szCs w:val="18"/>
          <w:lang w:val="es-CO"/>
        </w:rPr>
        <w:t xml:space="preserve"> </w:t>
      </w:r>
      <w:r w:rsidRPr="00A8372D">
        <w:rPr>
          <w:rFonts w:cs="Arial"/>
          <w:b/>
          <w:sz w:val="18"/>
          <w:szCs w:val="18"/>
          <w:lang w:val="es-CO"/>
        </w:rPr>
        <w:t>de valoración del pasivo contingente.</w:t>
      </w:r>
    </w:p>
    <w:p w14:paraId="2994EFD0" w14:textId="77777777" w:rsidR="003B41C3" w:rsidRDefault="003B41C3" w:rsidP="003B41C3">
      <w:pPr>
        <w:spacing w:after="0"/>
        <w:ind w:right="-283"/>
        <w:jc w:val="both"/>
        <w:rPr>
          <w:rFonts w:cs="Arial"/>
          <w:lang w:val="es-CO"/>
        </w:rPr>
      </w:pPr>
    </w:p>
    <w:p w14:paraId="51C0C12C" w14:textId="77777777" w:rsidR="003B41C3" w:rsidRPr="00C7331E" w:rsidRDefault="003B41C3" w:rsidP="003B41C3">
      <w:pPr>
        <w:spacing w:after="0"/>
        <w:ind w:right="-283"/>
        <w:jc w:val="both"/>
        <w:rPr>
          <w:rFonts w:cs="Arial"/>
          <w:lang w:val="es-CO"/>
        </w:rPr>
      </w:pPr>
    </w:p>
    <w:p w14:paraId="6ABFA12E" w14:textId="77777777" w:rsidR="003B41C3" w:rsidRPr="00C7331E" w:rsidRDefault="003B41C3" w:rsidP="003B41C3">
      <w:pPr>
        <w:spacing w:after="0"/>
        <w:ind w:right="-283"/>
        <w:jc w:val="both"/>
        <w:rPr>
          <w:rFonts w:cs="Arial"/>
          <w:lang w:val="es-CO"/>
        </w:rPr>
      </w:pPr>
      <w:r w:rsidRPr="00C7331E">
        <w:rPr>
          <w:rFonts w:cs="Arial"/>
          <w:lang w:val="es-CO"/>
        </w:rPr>
        <w:t>La ANDJE desde el año 2012 ha adelantado diferentes acciones para establecer con certeza el total de procesos en contra de la Nación y el valor de sus pretensiones.  Para septiembre de 2013, 26</w:t>
      </w:r>
      <w:r>
        <w:rPr>
          <w:rFonts w:cs="Arial"/>
          <w:lang w:val="es-CO"/>
        </w:rPr>
        <w:t>6</w:t>
      </w:r>
      <w:r w:rsidRPr="00C7331E">
        <w:rPr>
          <w:rFonts w:cs="Arial"/>
          <w:lang w:val="es-CO"/>
        </w:rPr>
        <w:t xml:space="preserve"> entidades del orden nacional reportan su actividad judicial en el Sistema, comparando con 160 entidades que lo hacían a finales de 2010, incremento de 63%. </w:t>
      </w:r>
    </w:p>
    <w:p w14:paraId="549746A3" w14:textId="77777777" w:rsidR="003B41C3" w:rsidRPr="00C7331E" w:rsidRDefault="003B41C3" w:rsidP="003B41C3">
      <w:pPr>
        <w:spacing w:after="0"/>
        <w:ind w:right="-283"/>
        <w:jc w:val="both"/>
        <w:rPr>
          <w:rFonts w:cs="Arial"/>
          <w:lang w:val="es-CO"/>
        </w:rPr>
      </w:pPr>
    </w:p>
    <w:p w14:paraId="4A7DCEC1" w14:textId="77777777" w:rsidR="003B41C3" w:rsidRDefault="003B41C3" w:rsidP="003B41C3">
      <w:pPr>
        <w:autoSpaceDE w:val="0"/>
        <w:autoSpaceDN w:val="0"/>
        <w:adjustRightInd w:val="0"/>
        <w:spacing w:after="0"/>
        <w:ind w:right="-283"/>
        <w:jc w:val="both"/>
        <w:rPr>
          <w:rFonts w:cs="Arial"/>
          <w:lang w:val="es-CO"/>
        </w:rPr>
      </w:pPr>
      <w:r w:rsidRPr="00C7331E">
        <w:rPr>
          <w:rFonts w:cs="Arial"/>
          <w:lang w:val="es-CO"/>
        </w:rPr>
        <w:t>Segundo</w:t>
      </w:r>
      <w:r>
        <w:rPr>
          <w:rFonts w:cs="Arial"/>
          <w:lang w:val="es-CO"/>
        </w:rPr>
        <w:t xml:space="preserve"> lugar,</w:t>
      </w:r>
      <w:r w:rsidRPr="00C7331E">
        <w:rPr>
          <w:rFonts w:cs="Arial"/>
          <w:lang w:val="es-CO"/>
        </w:rPr>
        <w:t xml:space="preserve"> procesos con pretensiones exorbitantemente elevadas como las del caso en contra del Instituto Colombiano de la Reforma Agraria (INCORA), no han permitido una trayectoria estable para </w:t>
      </w:r>
      <w:r>
        <w:rPr>
          <w:rFonts w:cs="Arial"/>
          <w:lang w:val="es-CO"/>
        </w:rPr>
        <w:t>hacer seguimiento a</w:t>
      </w:r>
      <w:r w:rsidRPr="00C7331E">
        <w:rPr>
          <w:rFonts w:cs="Arial"/>
          <w:lang w:val="es-CO"/>
        </w:rPr>
        <w:t>l pasivo contingente. Este proceso fue entablado por la familia Durango con pretensiones en pesos constantes de 2012 que ascendían a $886 billones, exigiendo la compensación por la presunta imposibilidad de explotación económica de 1.926</w:t>
      </w:r>
      <m:oMath>
        <m:sSup>
          <m:sSupPr>
            <m:ctrlPr>
              <w:rPr>
                <w:rFonts w:ascii="Cambria Math" w:hAnsi="Cambria Math" w:cs="Arial"/>
                <w:i/>
                <w:lang w:val="es-CO"/>
              </w:rPr>
            </m:ctrlPr>
          </m:sSupPr>
          <m:e>
            <m:r>
              <w:rPr>
                <w:rFonts w:ascii="Cambria Math" w:hAnsi="Cambria Math" w:cs="Arial"/>
                <w:lang w:val="es-CO"/>
              </w:rPr>
              <m:t>km</m:t>
            </m:r>
          </m:e>
          <m:sup>
            <m:r>
              <w:rPr>
                <w:rFonts w:ascii="Cambria Math" w:hAnsi="Cambria Math" w:cs="Arial"/>
                <w:lang w:val="es-CO"/>
              </w:rPr>
              <m:t>2</m:t>
            </m:r>
          </m:sup>
        </m:sSup>
      </m:oMath>
      <w:r w:rsidRPr="00C7331E">
        <w:rPr>
          <w:rFonts w:cs="Arial"/>
          <w:lang w:val="es-CO"/>
        </w:rPr>
        <w:t xml:space="preserve">. El proceso fue fallado a favor de la Nación en el 2012 tras encontrarse desde octubre de 2009 en el Consejo de Estado a la espera de fallo. </w:t>
      </w:r>
    </w:p>
    <w:p w14:paraId="57719F66" w14:textId="77777777" w:rsidR="003B41C3" w:rsidRDefault="003B41C3" w:rsidP="003B41C3">
      <w:pPr>
        <w:autoSpaceDE w:val="0"/>
        <w:autoSpaceDN w:val="0"/>
        <w:adjustRightInd w:val="0"/>
        <w:spacing w:after="0"/>
        <w:ind w:right="-283"/>
        <w:jc w:val="both"/>
        <w:rPr>
          <w:rFonts w:cs="Arial"/>
          <w:lang w:val="es-CO"/>
        </w:rPr>
      </w:pPr>
    </w:p>
    <w:p w14:paraId="3CFCEB5D" w14:textId="77777777" w:rsidR="003B41C3" w:rsidRPr="00C7331E" w:rsidRDefault="003B41C3" w:rsidP="003B41C3">
      <w:pPr>
        <w:autoSpaceDE w:val="0"/>
        <w:autoSpaceDN w:val="0"/>
        <w:adjustRightInd w:val="0"/>
        <w:spacing w:after="0"/>
        <w:ind w:right="-283"/>
        <w:jc w:val="both"/>
        <w:rPr>
          <w:rFonts w:cs="Arial"/>
          <w:lang w:val="es-CO"/>
        </w:rPr>
      </w:pPr>
      <w:r w:rsidRPr="00C7331E">
        <w:rPr>
          <w:rFonts w:cs="Arial"/>
          <w:lang w:val="es-CO"/>
        </w:rPr>
        <w:t>En el Gráfico 5 se presenta el cambio de escenario del pasivo contingente cuando se tiene en cuenta el proceso en contra del INCORA en contraste a la senda que hubiese seguido sin la existencia del mismo. Para el año 2010, cuando el MFMP de ese año refleja la diferencia más pronunciada, existe una brecha de $333.6 billones de pesos.</w:t>
      </w:r>
    </w:p>
    <w:p w14:paraId="4DDE2A6C" w14:textId="77777777" w:rsidR="003B41C3" w:rsidRPr="00C7331E" w:rsidRDefault="003B41C3" w:rsidP="003B41C3">
      <w:pPr>
        <w:autoSpaceDE w:val="0"/>
        <w:autoSpaceDN w:val="0"/>
        <w:adjustRightInd w:val="0"/>
        <w:spacing w:after="0"/>
        <w:ind w:right="-283"/>
        <w:jc w:val="both"/>
        <w:rPr>
          <w:rFonts w:cs="Arial"/>
          <w:lang w:val="es-CO"/>
        </w:rPr>
      </w:pPr>
    </w:p>
    <w:p w14:paraId="5F0E50B1" w14:textId="77777777" w:rsidR="003B41C3" w:rsidRPr="00C7331E" w:rsidRDefault="003B41C3" w:rsidP="003B41C3">
      <w:pPr>
        <w:autoSpaceDE w:val="0"/>
        <w:autoSpaceDN w:val="0"/>
        <w:adjustRightInd w:val="0"/>
        <w:spacing w:after="0"/>
        <w:ind w:right="-283"/>
        <w:jc w:val="both"/>
        <w:rPr>
          <w:rFonts w:cs="Arial"/>
          <w:lang w:val="es-CO"/>
        </w:rPr>
      </w:pPr>
      <w:r w:rsidRPr="00C7331E">
        <w:rPr>
          <w:rFonts w:cs="Arial"/>
          <w:lang w:val="es-CO"/>
        </w:rPr>
        <w:t>Por último, es relevante considerar que la metodología de valoración durante éste periodo fue desarrollada y consolidada pasando por múltiples ajustes y perfeccionamientos para acercarse aún más a su objetivo principal de estimar, para cada uno de los procesos instaurados, la probabilidad de fallo en contra de la Nación en cada una de las instancias que debe surtir el proceso hasta su fallo definitivo. Para lo anterior, el MHCP exige como requisito indispensable la calificación de riesgo por parte de los apoderados de las entidades. Esta información constituida por la calificación de cuatro variables que son: la fortaleza de la demanda, la fortaleza probatoria, el riesgo procesal y el nivel de jurisprudencia</w:t>
      </w:r>
      <w:r>
        <w:rPr>
          <w:rFonts w:cs="Arial"/>
          <w:lang w:val="es-CO"/>
        </w:rPr>
        <w:t>,</w:t>
      </w:r>
      <w:r w:rsidRPr="00C7331E">
        <w:rPr>
          <w:rFonts w:cs="Arial"/>
          <w:lang w:val="es-CO"/>
        </w:rPr>
        <w:t xml:space="preserve"> es solicitada a través del Sistema</w:t>
      </w:r>
      <w:r w:rsidRPr="00C7331E">
        <w:rPr>
          <w:rStyle w:val="Refdenotaalpie"/>
          <w:rFonts w:cs="Arial"/>
          <w:lang w:val="es-CO"/>
        </w:rPr>
        <w:footnoteReference w:id="5"/>
      </w:r>
      <w:r w:rsidRPr="00C7331E">
        <w:rPr>
          <w:rFonts w:cs="Arial"/>
          <w:lang w:val="es-CO"/>
        </w:rPr>
        <w:t xml:space="preserve">. </w:t>
      </w:r>
    </w:p>
    <w:p w14:paraId="433A7FE0" w14:textId="77777777" w:rsidR="003B41C3" w:rsidRPr="00C7331E" w:rsidRDefault="003B41C3" w:rsidP="003B41C3">
      <w:pPr>
        <w:autoSpaceDE w:val="0"/>
        <w:autoSpaceDN w:val="0"/>
        <w:adjustRightInd w:val="0"/>
        <w:spacing w:after="0"/>
        <w:ind w:right="-283"/>
        <w:jc w:val="both"/>
        <w:rPr>
          <w:rFonts w:cs="Arial"/>
          <w:lang w:val="es-CO"/>
        </w:rPr>
      </w:pPr>
    </w:p>
    <w:p w14:paraId="36488B98" w14:textId="77777777" w:rsidR="003B41C3" w:rsidRPr="00277DE0" w:rsidRDefault="003B41C3" w:rsidP="003B41C3">
      <w:pPr>
        <w:autoSpaceDE w:val="0"/>
        <w:autoSpaceDN w:val="0"/>
        <w:adjustRightInd w:val="0"/>
        <w:spacing w:after="0"/>
        <w:ind w:right="-283"/>
        <w:jc w:val="both"/>
        <w:rPr>
          <w:rFonts w:cs="Arial"/>
          <w:lang w:val="es-CO"/>
        </w:rPr>
      </w:pPr>
      <w:r w:rsidRPr="00277DE0">
        <w:rPr>
          <w:rFonts w:cs="Arial"/>
          <w:lang w:val="es-CO"/>
        </w:rPr>
        <w:t>En marzo de 2013 se estimó que las obligaciones contingentes por actividad litigiosa ascienden a $102 billones de pesos</w:t>
      </w:r>
      <w:r w:rsidRPr="00277DE0">
        <w:rPr>
          <w:rFonts w:cs="Arial"/>
          <w:vertAlign w:val="superscript"/>
          <w:lang w:val="es-CO"/>
        </w:rPr>
        <w:footnoteReference w:id="6"/>
      </w:r>
      <w:r w:rsidRPr="00277DE0">
        <w:rPr>
          <w:rFonts w:cs="Arial"/>
          <w:lang w:val="es-CO"/>
        </w:rPr>
        <w:t xml:space="preserve"> presentando un incremento de 8.5% respecto a las estimaciones realizadas el año anterior, de las cuales se </w:t>
      </w:r>
      <w:r>
        <w:rPr>
          <w:rFonts w:cs="Arial"/>
          <w:lang w:val="es-CO"/>
        </w:rPr>
        <w:t xml:space="preserve">excluye </w:t>
      </w:r>
      <w:r w:rsidRPr="00277DE0">
        <w:rPr>
          <w:rFonts w:cs="Arial"/>
          <w:lang w:val="es-CO"/>
        </w:rPr>
        <w:t xml:space="preserve">el mencionado proceso en contra del INCORA. </w:t>
      </w:r>
      <w:r>
        <w:rPr>
          <w:rFonts w:cs="Arial"/>
          <w:lang w:val="es-CO"/>
        </w:rPr>
        <w:t>E</w:t>
      </w:r>
      <w:r w:rsidRPr="00277DE0">
        <w:rPr>
          <w:rFonts w:cs="Arial"/>
          <w:lang w:val="es-CO"/>
        </w:rPr>
        <w:t>l contingente</w:t>
      </w:r>
      <w:r>
        <w:rPr>
          <w:rFonts w:cs="Arial"/>
          <w:lang w:val="es-CO"/>
        </w:rPr>
        <w:t xml:space="preserve"> </w:t>
      </w:r>
      <w:r w:rsidRPr="00277DE0">
        <w:rPr>
          <w:rFonts w:cs="Arial"/>
          <w:lang w:val="es-CO"/>
        </w:rPr>
        <w:t>entre 2013 y 2012 presenta un reducción del 77.4%. El siguiente cuadro expone la lista de entidades con mayor concentración del  pasivo contingente (Tabla 1).</w:t>
      </w:r>
      <w:r w:rsidRPr="00277DE0">
        <w:rPr>
          <w:rFonts w:cs="Arial"/>
          <w:vertAlign w:val="superscript"/>
          <w:lang w:val="es-CO"/>
        </w:rPr>
        <w:footnoteReference w:id="7"/>
      </w:r>
    </w:p>
    <w:p w14:paraId="18200A2E" w14:textId="77777777" w:rsidR="003B41C3" w:rsidRDefault="003B41C3" w:rsidP="003B41C3">
      <w:pPr>
        <w:autoSpaceDE w:val="0"/>
        <w:autoSpaceDN w:val="0"/>
        <w:adjustRightInd w:val="0"/>
        <w:spacing w:after="0"/>
        <w:ind w:right="-283"/>
        <w:jc w:val="both"/>
        <w:rPr>
          <w:rFonts w:cs="Arial"/>
          <w:lang w:val="es-CO"/>
        </w:rPr>
      </w:pPr>
    </w:p>
    <w:p w14:paraId="6C990393" w14:textId="77777777" w:rsidR="003B41C3" w:rsidRDefault="003B41C3" w:rsidP="003B41C3">
      <w:pPr>
        <w:autoSpaceDE w:val="0"/>
        <w:autoSpaceDN w:val="0"/>
        <w:adjustRightInd w:val="0"/>
        <w:spacing w:after="0"/>
        <w:ind w:right="-283"/>
        <w:jc w:val="center"/>
        <w:rPr>
          <w:rFonts w:cs="Arial"/>
          <w:b/>
          <w:sz w:val="22"/>
          <w:lang w:val="es-CO"/>
        </w:rPr>
      </w:pPr>
      <w:r w:rsidRPr="004E5F7F">
        <w:rPr>
          <w:rFonts w:cs="Arial"/>
          <w:b/>
          <w:sz w:val="22"/>
          <w:lang w:val="es-CO"/>
        </w:rPr>
        <w:t>Tabla 1.</w:t>
      </w:r>
    </w:p>
    <w:p w14:paraId="452B18AF" w14:textId="77777777" w:rsidR="003B41C3" w:rsidRDefault="003B41C3" w:rsidP="003B41C3">
      <w:pPr>
        <w:autoSpaceDE w:val="0"/>
        <w:autoSpaceDN w:val="0"/>
        <w:adjustRightInd w:val="0"/>
        <w:spacing w:after="0"/>
        <w:ind w:right="-283"/>
        <w:jc w:val="center"/>
        <w:rPr>
          <w:rFonts w:cs="Arial"/>
          <w:b/>
          <w:sz w:val="22"/>
          <w:lang w:val="es-CO"/>
        </w:rPr>
      </w:pPr>
    </w:p>
    <w:p w14:paraId="215EDC33" w14:textId="77777777" w:rsidR="003B41C3" w:rsidRPr="004E5F7F" w:rsidRDefault="003B41C3" w:rsidP="003B41C3">
      <w:pPr>
        <w:autoSpaceDE w:val="0"/>
        <w:autoSpaceDN w:val="0"/>
        <w:adjustRightInd w:val="0"/>
        <w:spacing w:after="0"/>
        <w:ind w:right="-283"/>
        <w:jc w:val="center"/>
        <w:rPr>
          <w:rFonts w:cs="Arial"/>
          <w:b/>
          <w:sz w:val="22"/>
          <w:lang w:val="es-CO"/>
        </w:rPr>
      </w:pPr>
      <w:r w:rsidRPr="004E5F7F">
        <w:rPr>
          <w:rFonts w:cs="Arial"/>
          <w:b/>
          <w:sz w:val="22"/>
          <w:lang w:val="es-CO"/>
        </w:rPr>
        <w:t xml:space="preserve"> Entidades públicas de orden nacional con mayor concentración </w:t>
      </w:r>
    </w:p>
    <w:p w14:paraId="4F325636" w14:textId="77777777" w:rsidR="003B41C3" w:rsidRDefault="003B41C3" w:rsidP="003B41C3">
      <w:pPr>
        <w:autoSpaceDE w:val="0"/>
        <w:autoSpaceDN w:val="0"/>
        <w:adjustRightInd w:val="0"/>
        <w:spacing w:after="0"/>
        <w:ind w:right="-283"/>
        <w:jc w:val="center"/>
        <w:rPr>
          <w:rFonts w:cs="Arial"/>
          <w:b/>
          <w:sz w:val="22"/>
          <w:lang w:val="es-CO"/>
        </w:rPr>
      </w:pPr>
      <w:r w:rsidRPr="004E5F7F">
        <w:rPr>
          <w:rFonts w:cs="Arial"/>
          <w:b/>
          <w:sz w:val="22"/>
          <w:lang w:val="es-CO"/>
        </w:rPr>
        <w:t>De</w:t>
      </w:r>
      <w:r>
        <w:rPr>
          <w:rFonts w:cs="Arial"/>
          <w:b/>
          <w:sz w:val="22"/>
          <w:lang w:val="es-CO"/>
        </w:rPr>
        <w:t xml:space="preserve">l </w:t>
      </w:r>
      <w:r w:rsidRPr="004E5F7F">
        <w:rPr>
          <w:rFonts w:cs="Arial"/>
          <w:b/>
          <w:sz w:val="22"/>
          <w:lang w:val="es-CO"/>
        </w:rPr>
        <w:t>Pasivo Contingente</w:t>
      </w:r>
    </w:p>
    <w:p w14:paraId="59222C9C" w14:textId="77777777" w:rsidR="003B41C3" w:rsidRDefault="003B41C3" w:rsidP="003B41C3">
      <w:pPr>
        <w:autoSpaceDE w:val="0"/>
        <w:autoSpaceDN w:val="0"/>
        <w:adjustRightInd w:val="0"/>
        <w:spacing w:after="0"/>
        <w:jc w:val="center"/>
        <w:rPr>
          <w:rFonts w:cs="Arial"/>
          <w:b/>
          <w:sz w:val="22"/>
          <w:lang w:val="es-CO"/>
        </w:rPr>
      </w:pPr>
    </w:p>
    <w:tbl>
      <w:tblPr>
        <w:tblW w:w="8946" w:type="dxa"/>
        <w:tblInd w:w="-20" w:type="dxa"/>
        <w:tblLook w:val="04A0" w:firstRow="1" w:lastRow="0" w:firstColumn="1" w:lastColumn="0" w:noHBand="0" w:noVBand="1"/>
      </w:tblPr>
      <w:tblGrid>
        <w:gridCol w:w="4841"/>
        <w:gridCol w:w="954"/>
        <w:gridCol w:w="1030"/>
        <w:gridCol w:w="781"/>
        <w:gridCol w:w="1340"/>
      </w:tblGrid>
      <w:tr w:rsidR="003B41C3" w:rsidRPr="009E3572" w14:paraId="6506A92E" w14:textId="77777777" w:rsidTr="003B41C3">
        <w:trPr>
          <w:trHeight w:val="281"/>
        </w:trPr>
        <w:tc>
          <w:tcPr>
            <w:tcW w:w="4841" w:type="dxa"/>
            <w:vMerge w:val="restart"/>
            <w:tcBorders>
              <w:top w:val="single" w:sz="4" w:space="0" w:color="1F497D"/>
              <w:left w:val="single" w:sz="4" w:space="0" w:color="1F497D"/>
              <w:bottom w:val="single" w:sz="4" w:space="0" w:color="1F497D"/>
            </w:tcBorders>
            <w:shd w:val="clear" w:color="auto" w:fill="548DD4" w:themeFill="text2" w:themeFillTint="99"/>
            <w:noWrap/>
            <w:vAlign w:val="center"/>
            <w:hideMark/>
          </w:tcPr>
          <w:p w14:paraId="0F163218" w14:textId="77777777" w:rsidR="003B41C3" w:rsidRPr="009E3572" w:rsidRDefault="003B41C3" w:rsidP="003B41C3">
            <w:pPr>
              <w:spacing w:after="0"/>
              <w:jc w:val="center"/>
              <w:rPr>
                <w:rFonts w:eastAsia="Times New Roman" w:cs="Calibri"/>
                <w:b/>
                <w:bCs/>
                <w:color w:val="FFFFFF"/>
                <w:sz w:val="20"/>
                <w:szCs w:val="20"/>
                <w:lang w:val="es-CO"/>
              </w:rPr>
            </w:pPr>
            <w:r w:rsidRPr="009E3572">
              <w:rPr>
                <w:rFonts w:eastAsia="Times New Roman" w:cs="Calibri"/>
                <w:b/>
                <w:bCs/>
                <w:color w:val="FFFFFF"/>
                <w:sz w:val="20"/>
                <w:szCs w:val="20"/>
                <w:lang w:val="es-CO"/>
              </w:rPr>
              <w:t>Entidad</w:t>
            </w:r>
          </w:p>
        </w:tc>
        <w:tc>
          <w:tcPr>
            <w:tcW w:w="4105" w:type="dxa"/>
            <w:gridSpan w:val="4"/>
            <w:tcBorders>
              <w:bottom w:val="nil"/>
            </w:tcBorders>
            <w:shd w:val="clear" w:color="auto" w:fill="548DD4" w:themeFill="text2" w:themeFillTint="99"/>
            <w:noWrap/>
            <w:vAlign w:val="bottom"/>
            <w:hideMark/>
          </w:tcPr>
          <w:p w14:paraId="618C78E4" w14:textId="77777777" w:rsidR="003B41C3" w:rsidRPr="009E3572" w:rsidRDefault="003B41C3" w:rsidP="003B41C3">
            <w:pPr>
              <w:spacing w:after="0"/>
              <w:jc w:val="center"/>
              <w:rPr>
                <w:rFonts w:eastAsia="Times New Roman" w:cs="Calibri"/>
                <w:b/>
                <w:bCs/>
                <w:color w:val="FFFFFF"/>
                <w:sz w:val="20"/>
                <w:szCs w:val="20"/>
                <w:lang w:val="es-CO"/>
              </w:rPr>
            </w:pPr>
            <w:r w:rsidRPr="009E3572">
              <w:rPr>
                <w:rFonts w:eastAsia="Times New Roman" w:cs="Calibri"/>
                <w:b/>
                <w:bCs/>
                <w:color w:val="FFFFFF"/>
                <w:sz w:val="20"/>
                <w:szCs w:val="20"/>
                <w:lang w:val="es-CO"/>
              </w:rPr>
              <w:t>MFMP 2013 – 2023</w:t>
            </w:r>
          </w:p>
        </w:tc>
      </w:tr>
      <w:tr w:rsidR="003B41C3" w:rsidRPr="009E3572" w14:paraId="098F81EE" w14:textId="77777777" w:rsidTr="003B41C3">
        <w:trPr>
          <w:trHeight w:val="129"/>
        </w:trPr>
        <w:tc>
          <w:tcPr>
            <w:tcW w:w="4841" w:type="dxa"/>
            <w:vMerge/>
            <w:tcBorders>
              <w:top w:val="single" w:sz="4" w:space="0" w:color="1F497D"/>
              <w:left w:val="single" w:sz="4" w:space="0" w:color="1F497D"/>
              <w:bottom w:val="single" w:sz="4" w:space="0" w:color="1F497D"/>
            </w:tcBorders>
            <w:shd w:val="clear" w:color="auto" w:fill="548DD4" w:themeFill="text2" w:themeFillTint="99"/>
            <w:vAlign w:val="center"/>
            <w:hideMark/>
          </w:tcPr>
          <w:p w14:paraId="4B952832" w14:textId="77777777" w:rsidR="003B41C3" w:rsidRPr="009E3572" w:rsidRDefault="003B41C3" w:rsidP="003B41C3">
            <w:pPr>
              <w:spacing w:after="0"/>
              <w:rPr>
                <w:rFonts w:eastAsia="Times New Roman" w:cs="Calibri"/>
                <w:b/>
                <w:bCs/>
                <w:color w:val="FFFFFF"/>
                <w:sz w:val="20"/>
                <w:szCs w:val="20"/>
                <w:lang w:val="es-CO"/>
              </w:rPr>
            </w:pPr>
          </w:p>
        </w:tc>
        <w:tc>
          <w:tcPr>
            <w:tcW w:w="1984" w:type="dxa"/>
            <w:gridSpan w:val="2"/>
            <w:shd w:val="clear" w:color="auto" w:fill="548DD4" w:themeFill="text2" w:themeFillTint="99"/>
            <w:noWrap/>
            <w:vAlign w:val="bottom"/>
            <w:hideMark/>
          </w:tcPr>
          <w:p w14:paraId="3433E1E1" w14:textId="77777777" w:rsidR="003B41C3" w:rsidRPr="009E3572" w:rsidRDefault="003B41C3" w:rsidP="003B41C3">
            <w:pPr>
              <w:spacing w:after="0"/>
              <w:jc w:val="center"/>
              <w:rPr>
                <w:rFonts w:eastAsia="Times New Roman" w:cs="Calibri"/>
                <w:b/>
                <w:bCs/>
                <w:color w:val="FFFFFF"/>
                <w:sz w:val="20"/>
                <w:szCs w:val="20"/>
                <w:lang w:val="es-CO"/>
              </w:rPr>
            </w:pPr>
            <w:r w:rsidRPr="009E3572">
              <w:rPr>
                <w:rFonts w:eastAsia="Times New Roman" w:cs="Calibri"/>
                <w:b/>
                <w:bCs/>
                <w:color w:val="FFFFFF"/>
                <w:sz w:val="20"/>
                <w:szCs w:val="20"/>
                <w:lang w:val="es-CO"/>
              </w:rPr>
              <w:t>Pretensiones</w:t>
            </w:r>
          </w:p>
        </w:tc>
        <w:tc>
          <w:tcPr>
            <w:tcW w:w="2121" w:type="dxa"/>
            <w:gridSpan w:val="2"/>
            <w:shd w:val="clear" w:color="auto" w:fill="548DD4" w:themeFill="text2" w:themeFillTint="99"/>
            <w:noWrap/>
            <w:vAlign w:val="bottom"/>
            <w:hideMark/>
          </w:tcPr>
          <w:p w14:paraId="456D34CD" w14:textId="77777777" w:rsidR="003B41C3" w:rsidRPr="009E3572" w:rsidRDefault="003B41C3" w:rsidP="003B41C3">
            <w:pPr>
              <w:spacing w:after="0"/>
              <w:jc w:val="center"/>
              <w:rPr>
                <w:rFonts w:eastAsia="Times New Roman" w:cs="Calibri"/>
                <w:b/>
                <w:bCs/>
                <w:color w:val="FFFFFF"/>
                <w:sz w:val="20"/>
                <w:szCs w:val="20"/>
                <w:lang w:val="es-CO"/>
              </w:rPr>
            </w:pPr>
            <w:r w:rsidRPr="009E3572">
              <w:rPr>
                <w:rFonts w:eastAsia="Times New Roman" w:cs="Calibri"/>
                <w:b/>
                <w:bCs/>
                <w:color w:val="FFFFFF"/>
                <w:sz w:val="20"/>
                <w:szCs w:val="20"/>
                <w:lang w:val="es-CO"/>
              </w:rPr>
              <w:t>Contingente</w:t>
            </w:r>
          </w:p>
        </w:tc>
      </w:tr>
      <w:tr w:rsidR="003B41C3" w:rsidRPr="009E3572" w14:paraId="6816EDFF" w14:textId="77777777" w:rsidTr="003B41C3">
        <w:trPr>
          <w:trHeight w:val="203"/>
        </w:trPr>
        <w:tc>
          <w:tcPr>
            <w:tcW w:w="4841" w:type="dxa"/>
            <w:vMerge/>
            <w:tcBorders>
              <w:top w:val="single" w:sz="4" w:space="0" w:color="1F497D"/>
              <w:left w:val="single" w:sz="4" w:space="0" w:color="1F497D"/>
              <w:bottom w:val="single" w:sz="4" w:space="0" w:color="1F497D"/>
            </w:tcBorders>
            <w:shd w:val="clear" w:color="auto" w:fill="548DD4" w:themeFill="text2" w:themeFillTint="99"/>
            <w:vAlign w:val="center"/>
            <w:hideMark/>
          </w:tcPr>
          <w:p w14:paraId="617838B0" w14:textId="77777777" w:rsidR="003B41C3" w:rsidRPr="009E3572" w:rsidRDefault="003B41C3" w:rsidP="003B41C3">
            <w:pPr>
              <w:spacing w:after="0"/>
              <w:rPr>
                <w:rFonts w:eastAsia="Times New Roman" w:cs="Calibri"/>
                <w:b/>
                <w:bCs/>
                <w:color w:val="FFFFFF"/>
                <w:sz w:val="20"/>
                <w:szCs w:val="20"/>
                <w:lang w:val="es-CO"/>
              </w:rPr>
            </w:pPr>
          </w:p>
        </w:tc>
        <w:tc>
          <w:tcPr>
            <w:tcW w:w="954" w:type="dxa"/>
            <w:tcBorders>
              <w:top w:val="nil"/>
            </w:tcBorders>
            <w:shd w:val="clear" w:color="auto" w:fill="548DD4" w:themeFill="text2" w:themeFillTint="99"/>
            <w:noWrap/>
            <w:vAlign w:val="center"/>
            <w:hideMark/>
          </w:tcPr>
          <w:p w14:paraId="5C239EBD" w14:textId="77777777" w:rsidR="003B41C3" w:rsidRPr="009E3572" w:rsidRDefault="003B41C3" w:rsidP="003B41C3">
            <w:pPr>
              <w:spacing w:after="0"/>
              <w:jc w:val="center"/>
              <w:rPr>
                <w:rFonts w:eastAsia="Times New Roman" w:cs="Calibri"/>
                <w:b/>
                <w:bCs/>
                <w:color w:val="FFFFFF"/>
                <w:sz w:val="20"/>
                <w:szCs w:val="20"/>
                <w:lang w:val="es-CO"/>
              </w:rPr>
            </w:pPr>
            <w:r w:rsidRPr="009E3572">
              <w:rPr>
                <w:rFonts w:eastAsia="Times New Roman" w:cs="Calibri"/>
                <w:b/>
                <w:bCs/>
                <w:color w:val="FFFFFF"/>
                <w:sz w:val="20"/>
                <w:szCs w:val="20"/>
                <w:lang w:val="es-CO"/>
              </w:rPr>
              <w:t>Valor</w:t>
            </w:r>
          </w:p>
        </w:tc>
        <w:tc>
          <w:tcPr>
            <w:tcW w:w="1030" w:type="dxa"/>
            <w:tcBorders>
              <w:top w:val="nil"/>
            </w:tcBorders>
            <w:shd w:val="clear" w:color="auto" w:fill="548DD4" w:themeFill="text2" w:themeFillTint="99"/>
            <w:noWrap/>
            <w:vAlign w:val="center"/>
            <w:hideMark/>
          </w:tcPr>
          <w:p w14:paraId="5D8D9A97" w14:textId="77777777" w:rsidR="003B41C3" w:rsidRPr="009E3572" w:rsidRDefault="003B41C3" w:rsidP="003B41C3">
            <w:pPr>
              <w:spacing w:after="0"/>
              <w:jc w:val="center"/>
              <w:rPr>
                <w:rFonts w:eastAsia="Times New Roman" w:cs="Calibri"/>
                <w:b/>
                <w:bCs/>
                <w:color w:val="FFFFFF"/>
                <w:sz w:val="20"/>
                <w:szCs w:val="20"/>
                <w:lang w:val="es-CO"/>
              </w:rPr>
            </w:pPr>
            <w:r w:rsidRPr="009E3572">
              <w:rPr>
                <w:rFonts w:eastAsia="Times New Roman" w:cs="Calibri"/>
                <w:b/>
                <w:bCs/>
                <w:color w:val="FFFFFF"/>
                <w:sz w:val="20"/>
                <w:szCs w:val="20"/>
                <w:lang w:val="es-CO"/>
              </w:rPr>
              <w:t>%</w:t>
            </w:r>
          </w:p>
        </w:tc>
        <w:tc>
          <w:tcPr>
            <w:tcW w:w="781" w:type="dxa"/>
            <w:tcBorders>
              <w:top w:val="nil"/>
            </w:tcBorders>
            <w:shd w:val="clear" w:color="auto" w:fill="548DD4" w:themeFill="text2" w:themeFillTint="99"/>
            <w:noWrap/>
            <w:vAlign w:val="center"/>
            <w:hideMark/>
          </w:tcPr>
          <w:p w14:paraId="1C707C35" w14:textId="77777777" w:rsidR="003B41C3" w:rsidRPr="009E3572" w:rsidRDefault="003B41C3" w:rsidP="003B41C3">
            <w:pPr>
              <w:spacing w:after="0"/>
              <w:jc w:val="center"/>
              <w:rPr>
                <w:rFonts w:eastAsia="Times New Roman" w:cs="Calibri"/>
                <w:b/>
                <w:bCs/>
                <w:color w:val="FFFFFF"/>
                <w:sz w:val="20"/>
                <w:szCs w:val="20"/>
                <w:lang w:val="es-CO"/>
              </w:rPr>
            </w:pPr>
            <w:r w:rsidRPr="009E3572">
              <w:rPr>
                <w:rFonts w:eastAsia="Times New Roman" w:cs="Calibri"/>
                <w:b/>
                <w:bCs/>
                <w:color w:val="FFFFFF"/>
                <w:sz w:val="20"/>
                <w:szCs w:val="20"/>
                <w:lang w:val="es-CO"/>
              </w:rPr>
              <w:t>Valor</w:t>
            </w:r>
          </w:p>
        </w:tc>
        <w:tc>
          <w:tcPr>
            <w:tcW w:w="1340" w:type="dxa"/>
            <w:tcBorders>
              <w:top w:val="nil"/>
              <w:left w:val="nil"/>
              <w:bottom w:val="single" w:sz="4" w:space="0" w:color="1F497D"/>
              <w:right w:val="single" w:sz="4" w:space="0" w:color="1F497D"/>
            </w:tcBorders>
            <w:shd w:val="clear" w:color="auto" w:fill="548DD4" w:themeFill="text2" w:themeFillTint="99"/>
            <w:noWrap/>
            <w:vAlign w:val="center"/>
            <w:hideMark/>
          </w:tcPr>
          <w:p w14:paraId="2259BF91" w14:textId="77777777" w:rsidR="003B41C3" w:rsidRPr="009E3572" w:rsidRDefault="003B41C3" w:rsidP="003B41C3">
            <w:pPr>
              <w:spacing w:after="0"/>
              <w:jc w:val="center"/>
              <w:rPr>
                <w:rFonts w:eastAsia="Times New Roman" w:cs="Calibri"/>
                <w:b/>
                <w:bCs/>
                <w:color w:val="FFFFFF"/>
                <w:sz w:val="20"/>
                <w:szCs w:val="20"/>
                <w:lang w:val="es-CO"/>
              </w:rPr>
            </w:pPr>
            <w:r w:rsidRPr="009E3572">
              <w:rPr>
                <w:rFonts w:eastAsia="Times New Roman" w:cs="Calibri"/>
                <w:b/>
                <w:bCs/>
                <w:color w:val="FFFFFF"/>
                <w:sz w:val="20"/>
                <w:szCs w:val="20"/>
                <w:lang w:val="es-CO"/>
              </w:rPr>
              <w:t>%</w:t>
            </w:r>
          </w:p>
        </w:tc>
      </w:tr>
      <w:tr w:rsidR="003B41C3" w:rsidRPr="009E3572" w14:paraId="37752085" w14:textId="77777777" w:rsidTr="003B41C3">
        <w:trPr>
          <w:trHeight w:val="265"/>
        </w:trPr>
        <w:tc>
          <w:tcPr>
            <w:tcW w:w="4841" w:type="dxa"/>
            <w:tcBorders>
              <w:top w:val="nil"/>
              <w:left w:val="nil"/>
              <w:bottom w:val="nil"/>
              <w:right w:val="nil"/>
            </w:tcBorders>
            <w:shd w:val="clear" w:color="auto" w:fill="auto"/>
            <w:noWrap/>
            <w:vAlign w:val="bottom"/>
            <w:hideMark/>
          </w:tcPr>
          <w:p w14:paraId="52B5450C" w14:textId="77777777" w:rsidR="003B41C3" w:rsidRPr="009E3572" w:rsidRDefault="003B41C3" w:rsidP="003B41C3">
            <w:pPr>
              <w:spacing w:after="0"/>
              <w:rPr>
                <w:rFonts w:eastAsia="Times New Roman" w:cs="Calibri"/>
                <w:color w:val="000000"/>
                <w:sz w:val="20"/>
                <w:szCs w:val="20"/>
                <w:lang w:val="es-CO"/>
              </w:rPr>
            </w:pPr>
            <w:r w:rsidRPr="009E3572">
              <w:rPr>
                <w:rFonts w:eastAsia="Times New Roman" w:cs="Calibri"/>
                <w:color w:val="000000"/>
                <w:sz w:val="20"/>
                <w:szCs w:val="20"/>
                <w:lang w:val="es-CO"/>
              </w:rPr>
              <w:t xml:space="preserve">SUPERINTENDENCIA FINANCIERA </w:t>
            </w:r>
          </w:p>
        </w:tc>
        <w:tc>
          <w:tcPr>
            <w:tcW w:w="954" w:type="dxa"/>
            <w:tcBorders>
              <w:left w:val="nil"/>
              <w:bottom w:val="nil"/>
              <w:right w:val="nil"/>
            </w:tcBorders>
            <w:shd w:val="clear" w:color="auto" w:fill="auto"/>
            <w:noWrap/>
            <w:vAlign w:val="center"/>
            <w:hideMark/>
          </w:tcPr>
          <w:p w14:paraId="0F26CF67"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s-CO"/>
              </w:rPr>
              <w:t>46.8</w:t>
            </w:r>
            <w:r w:rsidRPr="009E3572">
              <w:rPr>
                <w:rFonts w:eastAsia="Times New Roman" w:cs="Calibri"/>
                <w:color w:val="000000"/>
                <w:sz w:val="20"/>
                <w:szCs w:val="20"/>
                <w:lang w:val="en-US"/>
              </w:rPr>
              <w:t>6</w:t>
            </w:r>
          </w:p>
        </w:tc>
        <w:tc>
          <w:tcPr>
            <w:tcW w:w="1030" w:type="dxa"/>
            <w:tcBorders>
              <w:left w:val="nil"/>
              <w:bottom w:val="nil"/>
              <w:right w:val="nil"/>
            </w:tcBorders>
            <w:shd w:val="clear" w:color="auto" w:fill="auto"/>
            <w:noWrap/>
            <w:vAlign w:val="center"/>
            <w:hideMark/>
          </w:tcPr>
          <w:p w14:paraId="5EEF676D"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25.0%</w:t>
            </w:r>
          </w:p>
        </w:tc>
        <w:tc>
          <w:tcPr>
            <w:tcW w:w="781" w:type="dxa"/>
            <w:tcBorders>
              <w:left w:val="nil"/>
              <w:bottom w:val="nil"/>
              <w:right w:val="nil"/>
            </w:tcBorders>
            <w:shd w:val="clear" w:color="auto" w:fill="auto"/>
            <w:noWrap/>
            <w:vAlign w:val="center"/>
            <w:hideMark/>
          </w:tcPr>
          <w:p w14:paraId="215FA59A"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31.3</w:t>
            </w:r>
          </w:p>
        </w:tc>
        <w:tc>
          <w:tcPr>
            <w:tcW w:w="1340" w:type="dxa"/>
            <w:tcBorders>
              <w:top w:val="nil"/>
              <w:left w:val="nil"/>
              <w:bottom w:val="nil"/>
              <w:right w:val="nil"/>
            </w:tcBorders>
            <w:shd w:val="clear" w:color="auto" w:fill="auto"/>
            <w:noWrap/>
            <w:vAlign w:val="center"/>
            <w:hideMark/>
          </w:tcPr>
          <w:p w14:paraId="6D60D916"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28.6%</w:t>
            </w:r>
          </w:p>
        </w:tc>
      </w:tr>
      <w:tr w:rsidR="003B41C3" w:rsidRPr="009E3572" w14:paraId="1547AA8E" w14:textId="77777777" w:rsidTr="003B41C3">
        <w:trPr>
          <w:trHeight w:val="170"/>
        </w:trPr>
        <w:tc>
          <w:tcPr>
            <w:tcW w:w="4841" w:type="dxa"/>
            <w:tcBorders>
              <w:top w:val="nil"/>
              <w:left w:val="nil"/>
              <w:bottom w:val="nil"/>
              <w:right w:val="nil"/>
            </w:tcBorders>
            <w:shd w:val="clear" w:color="auto" w:fill="auto"/>
            <w:noWrap/>
            <w:vAlign w:val="bottom"/>
            <w:hideMark/>
          </w:tcPr>
          <w:p w14:paraId="236D6E27" w14:textId="77777777" w:rsidR="003B41C3" w:rsidRPr="009E3572" w:rsidRDefault="003B41C3" w:rsidP="003B41C3">
            <w:pPr>
              <w:spacing w:after="0"/>
              <w:rPr>
                <w:rFonts w:eastAsia="Times New Roman" w:cs="Calibri"/>
                <w:color w:val="000000"/>
                <w:sz w:val="20"/>
                <w:szCs w:val="20"/>
                <w:lang w:val="es-CO"/>
              </w:rPr>
            </w:pPr>
            <w:r w:rsidRPr="009E3572">
              <w:rPr>
                <w:rFonts w:eastAsia="Times New Roman" w:cs="Calibri"/>
                <w:color w:val="000000"/>
                <w:sz w:val="20"/>
                <w:szCs w:val="20"/>
                <w:lang w:val="es-CO"/>
              </w:rPr>
              <w:t>MINISTERIO DE HACIENDA Y CRÉDITO PÚBLICO</w:t>
            </w:r>
          </w:p>
        </w:tc>
        <w:tc>
          <w:tcPr>
            <w:tcW w:w="954" w:type="dxa"/>
            <w:tcBorders>
              <w:top w:val="nil"/>
              <w:left w:val="nil"/>
              <w:bottom w:val="nil"/>
              <w:right w:val="nil"/>
            </w:tcBorders>
            <w:shd w:val="clear" w:color="auto" w:fill="auto"/>
            <w:noWrap/>
            <w:vAlign w:val="center"/>
            <w:hideMark/>
          </w:tcPr>
          <w:p w14:paraId="38278DDC"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12.1</w:t>
            </w:r>
          </w:p>
        </w:tc>
        <w:tc>
          <w:tcPr>
            <w:tcW w:w="1030" w:type="dxa"/>
            <w:tcBorders>
              <w:top w:val="nil"/>
              <w:left w:val="nil"/>
              <w:bottom w:val="nil"/>
              <w:right w:val="nil"/>
            </w:tcBorders>
            <w:shd w:val="clear" w:color="auto" w:fill="auto"/>
            <w:noWrap/>
            <w:vAlign w:val="center"/>
            <w:hideMark/>
          </w:tcPr>
          <w:p w14:paraId="6079F388"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6.4%</w:t>
            </w:r>
          </w:p>
        </w:tc>
        <w:tc>
          <w:tcPr>
            <w:tcW w:w="781" w:type="dxa"/>
            <w:tcBorders>
              <w:top w:val="nil"/>
              <w:left w:val="nil"/>
              <w:bottom w:val="nil"/>
              <w:right w:val="nil"/>
            </w:tcBorders>
            <w:shd w:val="clear" w:color="auto" w:fill="auto"/>
            <w:noWrap/>
            <w:vAlign w:val="center"/>
            <w:hideMark/>
          </w:tcPr>
          <w:p w14:paraId="4180949A"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7.7</w:t>
            </w:r>
          </w:p>
        </w:tc>
        <w:tc>
          <w:tcPr>
            <w:tcW w:w="1340" w:type="dxa"/>
            <w:tcBorders>
              <w:top w:val="nil"/>
              <w:left w:val="nil"/>
              <w:bottom w:val="nil"/>
              <w:right w:val="nil"/>
            </w:tcBorders>
            <w:shd w:val="clear" w:color="auto" w:fill="auto"/>
            <w:noWrap/>
            <w:vAlign w:val="center"/>
            <w:hideMark/>
          </w:tcPr>
          <w:p w14:paraId="7CD1BCDF"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7.0%</w:t>
            </w:r>
          </w:p>
        </w:tc>
      </w:tr>
      <w:tr w:rsidR="003B41C3" w:rsidRPr="009E3572" w14:paraId="4D3C529F" w14:textId="77777777" w:rsidTr="003B41C3">
        <w:trPr>
          <w:trHeight w:val="235"/>
        </w:trPr>
        <w:tc>
          <w:tcPr>
            <w:tcW w:w="4841" w:type="dxa"/>
            <w:tcBorders>
              <w:top w:val="nil"/>
              <w:left w:val="nil"/>
              <w:bottom w:val="nil"/>
              <w:right w:val="nil"/>
            </w:tcBorders>
            <w:shd w:val="clear" w:color="auto" w:fill="auto"/>
            <w:noWrap/>
            <w:vAlign w:val="bottom"/>
            <w:hideMark/>
          </w:tcPr>
          <w:p w14:paraId="7966C0A8" w14:textId="77777777" w:rsidR="003B41C3" w:rsidRPr="009E3572" w:rsidRDefault="003B41C3" w:rsidP="003B41C3">
            <w:pPr>
              <w:spacing w:after="0"/>
              <w:rPr>
                <w:rFonts w:eastAsia="Times New Roman" w:cs="Calibri"/>
                <w:color w:val="000000"/>
                <w:sz w:val="20"/>
                <w:szCs w:val="20"/>
                <w:lang w:val="es-CO"/>
              </w:rPr>
            </w:pPr>
            <w:r w:rsidRPr="009E3572">
              <w:rPr>
                <w:rFonts w:eastAsia="Times New Roman" w:cs="Calibri"/>
                <w:color w:val="000000"/>
                <w:sz w:val="20"/>
                <w:szCs w:val="20"/>
                <w:lang w:val="es-CO"/>
              </w:rPr>
              <w:t>FÍSCALIA GENERAL DE LA NACIÓN</w:t>
            </w:r>
          </w:p>
        </w:tc>
        <w:tc>
          <w:tcPr>
            <w:tcW w:w="954" w:type="dxa"/>
            <w:tcBorders>
              <w:top w:val="nil"/>
              <w:left w:val="nil"/>
              <w:bottom w:val="nil"/>
              <w:right w:val="nil"/>
            </w:tcBorders>
            <w:shd w:val="clear" w:color="auto" w:fill="auto"/>
            <w:noWrap/>
            <w:vAlign w:val="center"/>
            <w:hideMark/>
          </w:tcPr>
          <w:p w14:paraId="75F9DA46"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15.49</w:t>
            </w:r>
          </w:p>
        </w:tc>
        <w:tc>
          <w:tcPr>
            <w:tcW w:w="1030" w:type="dxa"/>
            <w:tcBorders>
              <w:top w:val="nil"/>
              <w:left w:val="nil"/>
              <w:bottom w:val="nil"/>
              <w:right w:val="nil"/>
            </w:tcBorders>
            <w:shd w:val="clear" w:color="auto" w:fill="auto"/>
            <w:noWrap/>
            <w:vAlign w:val="center"/>
            <w:hideMark/>
          </w:tcPr>
          <w:p w14:paraId="0D37A957"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8.3%</w:t>
            </w:r>
          </w:p>
        </w:tc>
        <w:tc>
          <w:tcPr>
            <w:tcW w:w="781" w:type="dxa"/>
            <w:tcBorders>
              <w:top w:val="nil"/>
              <w:left w:val="nil"/>
              <w:bottom w:val="nil"/>
              <w:right w:val="nil"/>
            </w:tcBorders>
            <w:shd w:val="clear" w:color="auto" w:fill="auto"/>
            <w:noWrap/>
            <w:vAlign w:val="center"/>
            <w:hideMark/>
          </w:tcPr>
          <w:p w14:paraId="2B683677"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6.9</w:t>
            </w:r>
          </w:p>
        </w:tc>
        <w:tc>
          <w:tcPr>
            <w:tcW w:w="1340" w:type="dxa"/>
            <w:tcBorders>
              <w:top w:val="nil"/>
              <w:left w:val="nil"/>
              <w:bottom w:val="nil"/>
              <w:right w:val="nil"/>
            </w:tcBorders>
            <w:shd w:val="clear" w:color="auto" w:fill="auto"/>
            <w:noWrap/>
            <w:vAlign w:val="center"/>
            <w:hideMark/>
          </w:tcPr>
          <w:p w14:paraId="57FE2E1F"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6.3%</w:t>
            </w:r>
          </w:p>
        </w:tc>
      </w:tr>
      <w:tr w:rsidR="003B41C3" w:rsidRPr="009E3572" w14:paraId="5E4DF483" w14:textId="77777777" w:rsidTr="003B41C3">
        <w:trPr>
          <w:trHeight w:val="162"/>
        </w:trPr>
        <w:tc>
          <w:tcPr>
            <w:tcW w:w="4841" w:type="dxa"/>
            <w:tcBorders>
              <w:top w:val="nil"/>
              <w:left w:val="nil"/>
              <w:bottom w:val="nil"/>
              <w:right w:val="nil"/>
            </w:tcBorders>
            <w:shd w:val="clear" w:color="auto" w:fill="auto"/>
            <w:noWrap/>
            <w:vAlign w:val="bottom"/>
            <w:hideMark/>
          </w:tcPr>
          <w:p w14:paraId="1E3A852A" w14:textId="77777777" w:rsidR="003B41C3" w:rsidRPr="009E3572" w:rsidRDefault="003B41C3" w:rsidP="003B41C3">
            <w:pPr>
              <w:spacing w:after="0"/>
              <w:rPr>
                <w:rFonts w:eastAsia="Times New Roman" w:cs="Calibri"/>
                <w:color w:val="000000"/>
                <w:sz w:val="20"/>
                <w:szCs w:val="20"/>
                <w:lang w:val="en-US"/>
              </w:rPr>
            </w:pPr>
            <w:r w:rsidRPr="009E3572">
              <w:rPr>
                <w:rFonts w:eastAsia="Times New Roman" w:cs="Calibri"/>
                <w:color w:val="000000"/>
                <w:sz w:val="20"/>
                <w:szCs w:val="20"/>
                <w:lang w:val="en-US"/>
              </w:rPr>
              <w:t>MINISTERIO DE DEFENSA NACIONAL</w:t>
            </w:r>
          </w:p>
        </w:tc>
        <w:tc>
          <w:tcPr>
            <w:tcW w:w="954" w:type="dxa"/>
            <w:tcBorders>
              <w:top w:val="nil"/>
              <w:left w:val="nil"/>
              <w:bottom w:val="nil"/>
              <w:right w:val="nil"/>
            </w:tcBorders>
            <w:shd w:val="clear" w:color="auto" w:fill="auto"/>
            <w:noWrap/>
            <w:vAlign w:val="center"/>
            <w:hideMark/>
          </w:tcPr>
          <w:p w14:paraId="46136936"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10.72</w:t>
            </w:r>
          </w:p>
        </w:tc>
        <w:tc>
          <w:tcPr>
            <w:tcW w:w="1030" w:type="dxa"/>
            <w:tcBorders>
              <w:top w:val="nil"/>
              <w:left w:val="nil"/>
              <w:bottom w:val="nil"/>
              <w:right w:val="nil"/>
            </w:tcBorders>
            <w:shd w:val="clear" w:color="auto" w:fill="auto"/>
            <w:noWrap/>
            <w:vAlign w:val="center"/>
            <w:hideMark/>
          </w:tcPr>
          <w:p w14:paraId="71B804FF"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5.7%</w:t>
            </w:r>
          </w:p>
        </w:tc>
        <w:tc>
          <w:tcPr>
            <w:tcW w:w="781" w:type="dxa"/>
            <w:tcBorders>
              <w:top w:val="nil"/>
              <w:left w:val="nil"/>
              <w:bottom w:val="nil"/>
              <w:right w:val="nil"/>
            </w:tcBorders>
            <w:shd w:val="clear" w:color="auto" w:fill="auto"/>
            <w:noWrap/>
            <w:vAlign w:val="center"/>
            <w:hideMark/>
          </w:tcPr>
          <w:p w14:paraId="3BA4964F"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6.6</w:t>
            </w:r>
          </w:p>
        </w:tc>
        <w:tc>
          <w:tcPr>
            <w:tcW w:w="1340" w:type="dxa"/>
            <w:tcBorders>
              <w:top w:val="nil"/>
              <w:left w:val="nil"/>
              <w:bottom w:val="nil"/>
              <w:right w:val="nil"/>
            </w:tcBorders>
            <w:shd w:val="clear" w:color="auto" w:fill="auto"/>
            <w:noWrap/>
            <w:vAlign w:val="center"/>
            <w:hideMark/>
          </w:tcPr>
          <w:p w14:paraId="34272F4A"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6.1%</w:t>
            </w:r>
          </w:p>
        </w:tc>
      </w:tr>
      <w:tr w:rsidR="003B41C3" w:rsidRPr="009E3572" w14:paraId="7AFF6066" w14:textId="77777777" w:rsidTr="003B41C3">
        <w:trPr>
          <w:trHeight w:val="242"/>
        </w:trPr>
        <w:tc>
          <w:tcPr>
            <w:tcW w:w="4841" w:type="dxa"/>
            <w:tcBorders>
              <w:top w:val="nil"/>
              <w:left w:val="nil"/>
              <w:bottom w:val="nil"/>
              <w:right w:val="nil"/>
            </w:tcBorders>
            <w:shd w:val="clear" w:color="auto" w:fill="auto"/>
            <w:noWrap/>
            <w:vAlign w:val="bottom"/>
            <w:hideMark/>
          </w:tcPr>
          <w:p w14:paraId="6FAA1C21" w14:textId="77777777" w:rsidR="003B41C3" w:rsidRPr="009E3572" w:rsidRDefault="003B41C3" w:rsidP="003B41C3">
            <w:pPr>
              <w:spacing w:after="0"/>
              <w:rPr>
                <w:rFonts w:eastAsia="Times New Roman" w:cs="Calibri"/>
                <w:color w:val="000000"/>
                <w:sz w:val="20"/>
                <w:szCs w:val="20"/>
                <w:lang w:val="es-CO"/>
              </w:rPr>
            </w:pPr>
            <w:r w:rsidRPr="009E3572">
              <w:rPr>
                <w:rFonts w:eastAsia="Times New Roman" w:cs="Calibri"/>
                <w:color w:val="000000"/>
                <w:sz w:val="20"/>
                <w:szCs w:val="20"/>
                <w:lang w:val="es-CO"/>
              </w:rPr>
              <w:t>MINISTERIO DE MINAS Y ENERGÍA</w:t>
            </w:r>
          </w:p>
        </w:tc>
        <w:tc>
          <w:tcPr>
            <w:tcW w:w="954" w:type="dxa"/>
            <w:tcBorders>
              <w:top w:val="nil"/>
              <w:left w:val="nil"/>
              <w:bottom w:val="nil"/>
              <w:right w:val="nil"/>
            </w:tcBorders>
            <w:shd w:val="clear" w:color="auto" w:fill="auto"/>
            <w:noWrap/>
            <w:vAlign w:val="center"/>
            <w:hideMark/>
          </w:tcPr>
          <w:p w14:paraId="6C061652"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8.4</w:t>
            </w:r>
          </w:p>
        </w:tc>
        <w:tc>
          <w:tcPr>
            <w:tcW w:w="1030" w:type="dxa"/>
            <w:tcBorders>
              <w:top w:val="nil"/>
              <w:left w:val="nil"/>
              <w:bottom w:val="nil"/>
              <w:right w:val="nil"/>
            </w:tcBorders>
            <w:shd w:val="clear" w:color="auto" w:fill="auto"/>
            <w:noWrap/>
            <w:vAlign w:val="center"/>
            <w:hideMark/>
          </w:tcPr>
          <w:p w14:paraId="40933D34"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4.5%</w:t>
            </w:r>
          </w:p>
        </w:tc>
        <w:tc>
          <w:tcPr>
            <w:tcW w:w="781" w:type="dxa"/>
            <w:tcBorders>
              <w:top w:val="nil"/>
              <w:left w:val="nil"/>
              <w:bottom w:val="nil"/>
              <w:right w:val="nil"/>
            </w:tcBorders>
            <w:shd w:val="clear" w:color="auto" w:fill="auto"/>
            <w:noWrap/>
            <w:vAlign w:val="center"/>
            <w:hideMark/>
          </w:tcPr>
          <w:p w14:paraId="6B9FBFA4"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5.3</w:t>
            </w:r>
          </w:p>
        </w:tc>
        <w:tc>
          <w:tcPr>
            <w:tcW w:w="1340" w:type="dxa"/>
            <w:tcBorders>
              <w:top w:val="nil"/>
              <w:left w:val="nil"/>
              <w:bottom w:val="nil"/>
              <w:right w:val="nil"/>
            </w:tcBorders>
            <w:shd w:val="clear" w:color="auto" w:fill="auto"/>
            <w:noWrap/>
            <w:vAlign w:val="center"/>
            <w:hideMark/>
          </w:tcPr>
          <w:p w14:paraId="6A87E8EB"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4.8%</w:t>
            </w:r>
          </w:p>
        </w:tc>
      </w:tr>
      <w:tr w:rsidR="003B41C3" w:rsidRPr="009E3572" w14:paraId="3D565C16" w14:textId="77777777" w:rsidTr="003B41C3">
        <w:trPr>
          <w:trHeight w:val="152"/>
        </w:trPr>
        <w:tc>
          <w:tcPr>
            <w:tcW w:w="4841" w:type="dxa"/>
            <w:tcBorders>
              <w:top w:val="nil"/>
              <w:left w:val="nil"/>
              <w:bottom w:val="nil"/>
              <w:right w:val="nil"/>
            </w:tcBorders>
            <w:shd w:val="clear" w:color="auto" w:fill="auto"/>
            <w:noWrap/>
            <w:vAlign w:val="bottom"/>
            <w:hideMark/>
          </w:tcPr>
          <w:p w14:paraId="322231E0" w14:textId="77777777" w:rsidR="003B41C3" w:rsidRPr="009E3572" w:rsidRDefault="003B41C3" w:rsidP="003B41C3">
            <w:pPr>
              <w:spacing w:after="0"/>
              <w:rPr>
                <w:rFonts w:eastAsia="Times New Roman" w:cs="Calibri"/>
                <w:color w:val="000000"/>
                <w:sz w:val="20"/>
                <w:szCs w:val="20"/>
                <w:lang w:val="es-CO"/>
              </w:rPr>
            </w:pPr>
            <w:r w:rsidRPr="009E3572">
              <w:rPr>
                <w:rFonts w:eastAsia="Times New Roman" w:cs="Calibri"/>
                <w:color w:val="000000"/>
                <w:sz w:val="20"/>
                <w:szCs w:val="20"/>
                <w:lang w:val="es-CO"/>
              </w:rPr>
              <w:t>CONSEJO SUPERIOR DE LA JUDICATURA</w:t>
            </w:r>
          </w:p>
        </w:tc>
        <w:tc>
          <w:tcPr>
            <w:tcW w:w="954" w:type="dxa"/>
            <w:tcBorders>
              <w:top w:val="nil"/>
              <w:left w:val="nil"/>
              <w:bottom w:val="nil"/>
              <w:right w:val="nil"/>
            </w:tcBorders>
            <w:shd w:val="clear" w:color="auto" w:fill="auto"/>
            <w:noWrap/>
            <w:vAlign w:val="center"/>
            <w:hideMark/>
          </w:tcPr>
          <w:p w14:paraId="64E02BED"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7.81</w:t>
            </w:r>
          </w:p>
        </w:tc>
        <w:tc>
          <w:tcPr>
            <w:tcW w:w="1030" w:type="dxa"/>
            <w:tcBorders>
              <w:top w:val="nil"/>
              <w:left w:val="nil"/>
              <w:bottom w:val="nil"/>
              <w:right w:val="nil"/>
            </w:tcBorders>
            <w:shd w:val="clear" w:color="auto" w:fill="auto"/>
            <w:noWrap/>
            <w:vAlign w:val="center"/>
            <w:hideMark/>
          </w:tcPr>
          <w:p w14:paraId="0701FCDE"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4.2%</w:t>
            </w:r>
          </w:p>
        </w:tc>
        <w:tc>
          <w:tcPr>
            <w:tcW w:w="781" w:type="dxa"/>
            <w:tcBorders>
              <w:top w:val="nil"/>
              <w:left w:val="nil"/>
              <w:bottom w:val="nil"/>
              <w:right w:val="nil"/>
            </w:tcBorders>
            <w:shd w:val="clear" w:color="auto" w:fill="auto"/>
            <w:noWrap/>
            <w:vAlign w:val="center"/>
            <w:hideMark/>
          </w:tcPr>
          <w:p w14:paraId="724E74FC"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4.7</w:t>
            </w:r>
          </w:p>
        </w:tc>
        <w:tc>
          <w:tcPr>
            <w:tcW w:w="1340" w:type="dxa"/>
            <w:tcBorders>
              <w:top w:val="nil"/>
              <w:left w:val="nil"/>
              <w:bottom w:val="nil"/>
              <w:right w:val="nil"/>
            </w:tcBorders>
            <w:shd w:val="clear" w:color="auto" w:fill="auto"/>
            <w:noWrap/>
            <w:vAlign w:val="center"/>
            <w:hideMark/>
          </w:tcPr>
          <w:p w14:paraId="46EAEB6C"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4.3%</w:t>
            </w:r>
          </w:p>
        </w:tc>
      </w:tr>
      <w:tr w:rsidR="003B41C3" w:rsidRPr="009E3572" w14:paraId="26B98964" w14:textId="77777777" w:rsidTr="003B41C3">
        <w:trPr>
          <w:trHeight w:val="233"/>
        </w:trPr>
        <w:tc>
          <w:tcPr>
            <w:tcW w:w="4841" w:type="dxa"/>
            <w:tcBorders>
              <w:top w:val="nil"/>
              <w:left w:val="nil"/>
              <w:bottom w:val="nil"/>
              <w:right w:val="nil"/>
            </w:tcBorders>
            <w:shd w:val="clear" w:color="auto" w:fill="auto"/>
            <w:noWrap/>
            <w:vAlign w:val="bottom"/>
            <w:hideMark/>
          </w:tcPr>
          <w:p w14:paraId="35178744" w14:textId="77777777" w:rsidR="003B41C3" w:rsidRPr="009E3572" w:rsidRDefault="003B41C3" w:rsidP="003B41C3">
            <w:pPr>
              <w:spacing w:after="0"/>
              <w:rPr>
                <w:rFonts w:eastAsia="Times New Roman" w:cs="Calibri"/>
                <w:color w:val="000000"/>
                <w:sz w:val="20"/>
                <w:szCs w:val="20"/>
                <w:lang w:val="es-CO"/>
              </w:rPr>
            </w:pPr>
            <w:r w:rsidRPr="009E3572">
              <w:rPr>
                <w:rFonts w:eastAsia="Times New Roman" w:cs="Calibri"/>
                <w:color w:val="000000"/>
                <w:sz w:val="20"/>
                <w:szCs w:val="20"/>
                <w:lang w:val="es-CO"/>
              </w:rPr>
              <w:t>CORPORACIÓN AUTÓNOMA REGIONAL DE CUNDINAMARCA</w:t>
            </w:r>
          </w:p>
        </w:tc>
        <w:tc>
          <w:tcPr>
            <w:tcW w:w="954" w:type="dxa"/>
            <w:tcBorders>
              <w:top w:val="nil"/>
              <w:left w:val="nil"/>
              <w:bottom w:val="nil"/>
              <w:right w:val="nil"/>
            </w:tcBorders>
            <w:shd w:val="clear" w:color="auto" w:fill="auto"/>
            <w:noWrap/>
            <w:vAlign w:val="center"/>
            <w:hideMark/>
          </w:tcPr>
          <w:p w14:paraId="62AD1C49"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6.47</w:t>
            </w:r>
          </w:p>
        </w:tc>
        <w:tc>
          <w:tcPr>
            <w:tcW w:w="1030" w:type="dxa"/>
            <w:tcBorders>
              <w:top w:val="nil"/>
              <w:left w:val="nil"/>
              <w:bottom w:val="nil"/>
              <w:right w:val="nil"/>
            </w:tcBorders>
            <w:shd w:val="clear" w:color="auto" w:fill="auto"/>
            <w:noWrap/>
            <w:vAlign w:val="center"/>
            <w:hideMark/>
          </w:tcPr>
          <w:p w14:paraId="2622FB88"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3.4%</w:t>
            </w:r>
          </w:p>
        </w:tc>
        <w:tc>
          <w:tcPr>
            <w:tcW w:w="781" w:type="dxa"/>
            <w:tcBorders>
              <w:top w:val="nil"/>
              <w:left w:val="nil"/>
              <w:bottom w:val="nil"/>
              <w:right w:val="nil"/>
            </w:tcBorders>
            <w:shd w:val="clear" w:color="auto" w:fill="auto"/>
            <w:noWrap/>
            <w:vAlign w:val="center"/>
            <w:hideMark/>
          </w:tcPr>
          <w:p w14:paraId="2718502C"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4.2</w:t>
            </w:r>
          </w:p>
        </w:tc>
        <w:tc>
          <w:tcPr>
            <w:tcW w:w="1340" w:type="dxa"/>
            <w:tcBorders>
              <w:top w:val="nil"/>
              <w:left w:val="nil"/>
              <w:bottom w:val="nil"/>
              <w:right w:val="nil"/>
            </w:tcBorders>
            <w:shd w:val="clear" w:color="auto" w:fill="auto"/>
            <w:noWrap/>
            <w:vAlign w:val="center"/>
            <w:hideMark/>
          </w:tcPr>
          <w:p w14:paraId="6AC87190"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3.9%</w:t>
            </w:r>
          </w:p>
        </w:tc>
      </w:tr>
      <w:tr w:rsidR="003B41C3" w:rsidRPr="009E3572" w14:paraId="590F9F62" w14:textId="77777777" w:rsidTr="003B41C3">
        <w:trPr>
          <w:trHeight w:val="159"/>
        </w:trPr>
        <w:tc>
          <w:tcPr>
            <w:tcW w:w="4841" w:type="dxa"/>
            <w:tcBorders>
              <w:top w:val="nil"/>
              <w:left w:val="nil"/>
              <w:bottom w:val="nil"/>
              <w:right w:val="nil"/>
            </w:tcBorders>
            <w:shd w:val="clear" w:color="auto" w:fill="auto"/>
            <w:noWrap/>
            <w:vAlign w:val="bottom"/>
            <w:hideMark/>
          </w:tcPr>
          <w:p w14:paraId="36D88058" w14:textId="77777777" w:rsidR="003B41C3" w:rsidRPr="009E3572" w:rsidRDefault="003B41C3" w:rsidP="003B41C3">
            <w:pPr>
              <w:spacing w:after="0"/>
              <w:rPr>
                <w:rFonts w:eastAsia="Times New Roman" w:cs="Calibri"/>
                <w:color w:val="000000"/>
                <w:sz w:val="20"/>
                <w:szCs w:val="20"/>
                <w:lang w:val="en-US"/>
              </w:rPr>
            </w:pPr>
            <w:r w:rsidRPr="009E3572">
              <w:rPr>
                <w:rFonts w:eastAsia="Times New Roman" w:cs="Calibri"/>
                <w:color w:val="000000"/>
                <w:sz w:val="20"/>
                <w:szCs w:val="20"/>
                <w:lang w:val="en-US"/>
              </w:rPr>
              <w:t>MINISTERIO DE TRANSPORTE</w:t>
            </w:r>
          </w:p>
        </w:tc>
        <w:tc>
          <w:tcPr>
            <w:tcW w:w="954" w:type="dxa"/>
            <w:tcBorders>
              <w:top w:val="nil"/>
              <w:left w:val="nil"/>
              <w:bottom w:val="nil"/>
              <w:right w:val="nil"/>
            </w:tcBorders>
            <w:shd w:val="clear" w:color="auto" w:fill="auto"/>
            <w:noWrap/>
            <w:vAlign w:val="center"/>
            <w:hideMark/>
          </w:tcPr>
          <w:p w14:paraId="2AC08098"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6.37</w:t>
            </w:r>
          </w:p>
        </w:tc>
        <w:tc>
          <w:tcPr>
            <w:tcW w:w="1030" w:type="dxa"/>
            <w:tcBorders>
              <w:top w:val="nil"/>
              <w:left w:val="nil"/>
              <w:bottom w:val="nil"/>
              <w:right w:val="nil"/>
            </w:tcBorders>
            <w:shd w:val="clear" w:color="auto" w:fill="auto"/>
            <w:noWrap/>
            <w:vAlign w:val="center"/>
            <w:hideMark/>
          </w:tcPr>
          <w:p w14:paraId="36120BC7"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3.4%</w:t>
            </w:r>
          </w:p>
        </w:tc>
        <w:tc>
          <w:tcPr>
            <w:tcW w:w="781" w:type="dxa"/>
            <w:tcBorders>
              <w:top w:val="nil"/>
              <w:left w:val="nil"/>
              <w:bottom w:val="nil"/>
              <w:right w:val="nil"/>
            </w:tcBorders>
            <w:shd w:val="clear" w:color="auto" w:fill="auto"/>
            <w:noWrap/>
            <w:vAlign w:val="center"/>
            <w:hideMark/>
          </w:tcPr>
          <w:p w14:paraId="6D5AB2D9"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3.2</w:t>
            </w:r>
          </w:p>
        </w:tc>
        <w:tc>
          <w:tcPr>
            <w:tcW w:w="1340" w:type="dxa"/>
            <w:tcBorders>
              <w:top w:val="nil"/>
              <w:left w:val="nil"/>
              <w:bottom w:val="nil"/>
              <w:right w:val="nil"/>
            </w:tcBorders>
            <w:shd w:val="clear" w:color="auto" w:fill="auto"/>
            <w:noWrap/>
            <w:vAlign w:val="center"/>
            <w:hideMark/>
          </w:tcPr>
          <w:p w14:paraId="4B8C1BB4"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2.9%</w:t>
            </w:r>
          </w:p>
        </w:tc>
      </w:tr>
      <w:tr w:rsidR="003B41C3" w:rsidRPr="009E3572" w14:paraId="19BC4A24" w14:textId="77777777" w:rsidTr="003B41C3">
        <w:trPr>
          <w:trHeight w:val="241"/>
        </w:trPr>
        <w:tc>
          <w:tcPr>
            <w:tcW w:w="4841" w:type="dxa"/>
            <w:tcBorders>
              <w:top w:val="nil"/>
              <w:left w:val="nil"/>
              <w:bottom w:val="nil"/>
              <w:right w:val="nil"/>
            </w:tcBorders>
            <w:shd w:val="clear" w:color="auto" w:fill="auto"/>
            <w:noWrap/>
            <w:vAlign w:val="bottom"/>
            <w:hideMark/>
          </w:tcPr>
          <w:p w14:paraId="47624805" w14:textId="77777777" w:rsidR="003B41C3" w:rsidRPr="009E3572" w:rsidRDefault="003B41C3" w:rsidP="003B41C3">
            <w:pPr>
              <w:spacing w:after="0"/>
              <w:rPr>
                <w:rFonts w:eastAsia="Times New Roman" w:cs="Calibri"/>
                <w:color w:val="000000"/>
                <w:sz w:val="20"/>
                <w:szCs w:val="20"/>
                <w:lang w:val="en-US"/>
              </w:rPr>
            </w:pPr>
            <w:r w:rsidRPr="009E3572">
              <w:rPr>
                <w:rFonts w:eastAsia="Times New Roman" w:cs="Calibri"/>
                <w:color w:val="000000"/>
                <w:sz w:val="20"/>
                <w:szCs w:val="20"/>
                <w:lang w:val="en-US"/>
              </w:rPr>
              <w:t>POLICÍA NACIONAL</w:t>
            </w:r>
          </w:p>
        </w:tc>
        <w:tc>
          <w:tcPr>
            <w:tcW w:w="954" w:type="dxa"/>
            <w:tcBorders>
              <w:top w:val="nil"/>
              <w:left w:val="nil"/>
              <w:bottom w:val="nil"/>
              <w:right w:val="nil"/>
            </w:tcBorders>
            <w:shd w:val="clear" w:color="auto" w:fill="auto"/>
            <w:noWrap/>
            <w:vAlign w:val="center"/>
            <w:hideMark/>
          </w:tcPr>
          <w:p w14:paraId="2071C45B"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7.88</w:t>
            </w:r>
          </w:p>
        </w:tc>
        <w:tc>
          <w:tcPr>
            <w:tcW w:w="1030" w:type="dxa"/>
            <w:tcBorders>
              <w:top w:val="nil"/>
              <w:left w:val="nil"/>
              <w:bottom w:val="nil"/>
              <w:right w:val="nil"/>
            </w:tcBorders>
            <w:shd w:val="clear" w:color="auto" w:fill="auto"/>
            <w:noWrap/>
            <w:vAlign w:val="center"/>
            <w:hideMark/>
          </w:tcPr>
          <w:p w14:paraId="4786970C"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4.2%</w:t>
            </w:r>
          </w:p>
        </w:tc>
        <w:tc>
          <w:tcPr>
            <w:tcW w:w="781" w:type="dxa"/>
            <w:tcBorders>
              <w:top w:val="nil"/>
              <w:left w:val="nil"/>
              <w:bottom w:val="nil"/>
              <w:right w:val="nil"/>
            </w:tcBorders>
            <w:shd w:val="clear" w:color="auto" w:fill="auto"/>
            <w:noWrap/>
            <w:vAlign w:val="center"/>
            <w:hideMark/>
          </w:tcPr>
          <w:p w14:paraId="115D85D9"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3</w:t>
            </w:r>
          </w:p>
        </w:tc>
        <w:tc>
          <w:tcPr>
            <w:tcW w:w="1340" w:type="dxa"/>
            <w:tcBorders>
              <w:top w:val="nil"/>
              <w:left w:val="nil"/>
              <w:bottom w:val="nil"/>
              <w:right w:val="nil"/>
            </w:tcBorders>
            <w:shd w:val="clear" w:color="auto" w:fill="auto"/>
            <w:noWrap/>
            <w:vAlign w:val="center"/>
            <w:hideMark/>
          </w:tcPr>
          <w:p w14:paraId="4BE48B2E"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2.7%</w:t>
            </w:r>
          </w:p>
        </w:tc>
      </w:tr>
      <w:tr w:rsidR="003B41C3" w:rsidRPr="009E3572" w14:paraId="3D16B4F7" w14:textId="77777777" w:rsidTr="003B41C3">
        <w:trPr>
          <w:trHeight w:val="150"/>
        </w:trPr>
        <w:tc>
          <w:tcPr>
            <w:tcW w:w="4841" w:type="dxa"/>
            <w:tcBorders>
              <w:top w:val="nil"/>
              <w:left w:val="nil"/>
              <w:bottom w:val="nil"/>
              <w:right w:val="nil"/>
            </w:tcBorders>
            <w:shd w:val="clear" w:color="auto" w:fill="auto"/>
            <w:noWrap/>
            <w:vAlign w:val="bottom"/>
            <w:hideMark/>
          </w:tcPr>
          <w:p w14:paraId="6775062A" w14:textId="77777777" w:rsidR="003B41C3" w:rsidRPr="009E3572" w:rsidRDefault="003B41C3" w:rsidP="003B41C3">
            <w:pPr>
              <w:spacing w:after="0"/>
              <w:rPr>
                <w:rFonts w:eastAsia="Times New Roman" w:cs="Calibri"/>
                <w:color w:val="000000"/>
                <w:sz w:val="20"/>
                <w:szCs w:val="20"/>
                <w:lang w:val="en-US"/>
              </w:rPr>
            </w:pPr>
            <w:r w:rsidRPr="009E3572">
              <w:rPr>
                <w:rFonts w:eastAsia="Times New Roman" w:cs="Calibri"/>
                <w:color w:val="000000"/>
                <w:sz w:val="20"/>
                <w:szCs w:val="20"/>
                <w:lang w:val="en-US"/>
              </w:rPr>
              <w:t>MINISTERIO DE TICS</w:t>
            </w:r>
          </w:p>
        </w:tc>
        <w:tc>
          <w:tcPr>
            <w:tcW w:w="954" w:type="dxa"/>
            <w:tcBorders>
              <w:top w:val="nil"/>
              <w:left w:val="nil"/>
              <w:bottom w:val="nil"/>
              <w:right w:val="nil"/>
            </w:tcBorders>
            <w:shd w:val="clear" w:color="auto" w:fill="auto"/>
            <w:noWrap/>
            <w:vAlign w:val="center"/>
            <w:hideMark/>
          </w:tcPr>
          <w:p w14:paraId="0F7A7737"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4.03</w:t>
            </w:r>
          </w:p>
        </w:tc>
        <w:tc>
          <w:tcPr>
            <w:tcW w:w="1030" w:type="dxa"/>
            <w:tcBorders>
              <w:top w:val="nil"/>
              <w:left w:val="nil"/>
              <w:bottom w:val="nil"/>
              <w:right w:val="nil"/>
            </w:tcBorders>
            <w:shd w:val="clear" w:color="auto" w:fill="auto"/>
            <w:noWrap/>
            <w:vAlign w:val="center"/>
            <w:hideMark/>
          </w:tcPr>
          <w:p w14:paraId="683C396B"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2.2%</w:t>
            </w:r>
          </w:p>
        </w:tc>
        <w:tc>
          <w:tcPr>
            <w:tcW w:w="781" w:type="dxa"/>
            <w:tcBorders>
              <w:top w:val="nil"/>
              <w:left w:val="nil"/>
              <w:bottom w:val="nil"/>
              <w:right w:val="nil"/>
            </w:tcBorders>
            <w:shd w:val="clear" w:color="auto" w:fill="auto"/>
            <w:noWrap/>
            <w:vAlign w:val="center"/>
            <w:hideMark/>
          </w:tcPr>
          <w:p w14:paraId="69739FCD"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2.5</w:t>
            </w:r>
          </w:p>
        </w:tc>
        <w:tc>
          <w:tcPr>
            <w:tcW w:w="1340" w:type="dxa"/>
            <w:tcBorders>
              <w:top w:val="nil"/>
              <w:left w:val="nil"/>
              <w:bottom w:val="nil"/>
              <w:right w:val="nil"/>
            </w:tcBorders>
            <w:shd w:val="clear" w:color="auto" w:fill="auto"/>
            <w:noWrap/>
            <w:vAlign w:val="center"/>
            <w:hideMark/>
          </w:tcPr>
          <w:p w14:paraId="13C664D3"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2.3%</w:t>
            </w:r>
          </w:p>
        </w:tc>
      </w:tr>
      <w:tr w:rsidR="003B41C3" w:rsidRPr="009E3572" w14:paraId="5735B00D" w14:textId="77777777" w:rsidTr="003B41C3">
        <w:trPr>
          <w:trHeight w:val="231"/>
        </w:trPr>
        <w:tc>
          <w:tcPr>
            <w:tcW w:w="4841" w:type="dxa"/>
            <w:tcBorders>
              <w:top w:val="nil"/>
              <w:left w:val="nil"/>
              <w:bottom w:val="nil"/>
              <w:right w:val="nil"/>
            </w:tcBorders>
            <w:shd w:val="clear" w:color="auto" w:fill="auto"/>
            <w:noWrap/>
            <w:vAlign w:val="bottom"/>
            <w:hideMark/>
          </w:tcPr>
          <w:p w14:paraId="2B29380E" w14:textId="77777777" w:rsidR="003B41C3" w:rsidRPr="009E3572" w:rsidRDefault="003B41C3" w:rsidP="003B41C3">
            <w:pPr>
              <w:spacing w:after="0"/>
              <w:rPr>
                <w:rFonts w:eastAsia="Times New Roman" w:cs="Calibri"/>
                <w:color w:val="000000"/>
                <w:sz w:val="20"/>
                <w:szCs w:val="20"/>
                <w:lang w:val="es-CO"/>
              </w:rPr>
            </w:pPr>
            <w:r w:rsidRPr="009E3572">
              <w:rPr>
                <w:rFonts w:eastAsia="Times New Roman" w:cs="Calibri"/>
                <w:color w:val="000000"/>
                <w:sz w:val="20"/>
                <w:szCs w:val="20"/>
                <w:lang w:val="es-CO"/>
              </w:rPr>
              <w:t>CORPORACIÓN AUTÓNOMA REGIONAL DEL MAGDALENA</w:t>
            </w:r>
          </w:p>
        </w:tc>
        <w:tc>
          <w:tcPr>
            <w:tcW w:w="954" w:type="dxa"/>
            <w:tcBorders>
              <w:top w:val="nil"/>
              <w:left w:val="nil"/>
              <w:bottom w:val="nil"/>
              <w:right w:val="nil"/>
            </w:tcBorders>
            <w:shd w:val="clear" w:color="auto" w:fill="auto"/>
            <w:noWrap/>
            <w:vAlign w:val="center"/>
            <w:hideMark/>
          </w:tcPr>
          <w:p w14:paraId="67584022"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4.77</w:t>
            </w:r>
          </w:p>
        </w:tc>
        <w:tc>
          <w:tcPr>
            <w:tcW w:w="1030" w:type="dxa"/>
            <w:tcBorders>
              <w:top w:val="nil"/>
              <w:left w:val="nil"/>
              <w:bottom w:val="nil"/>
              <w:right w:val="nil"/>
            </w:tcBorders>
            <w:shd w:val="clear" w:color="auto" w:fill="auto"/>
            <w:noWrap/>
            <w:vAlign w:val="center"/>
            <w:hideMark/>
          </w:tcPr>
          <w:p w14:paraId="3FA14A65"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2.5%</w:t>
            </w:r>
          </w:p>
        </w:tc>
        <w:tc>
          <w:tcPr>
            <w:tcW w:w="781" w:type="dxa"/>
            <w:tcBorders>
              <w:top w:val="nil"/>
              <w:left w:val="nil"/>
              <w:bottom w:val="nil"/>
              <w:right w:val="nil"/>
            </w:tcBorders>
            <w:shd w:val="clear" w:color="auto" w:fill="auto"/>
            <w:noWrap/>
            <w:vAlign w:val="center"/>
            <w:hideMark/>
          </w:tcPr>
          <w:p w14:paraId="29AFC9B4"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2.4</w:t>
            </w:r>
          </w:p>
        </w:tc>
        <w:tc>
          <w:tcPr>
            <w:tcW w:w="1340" w:type="dxa"/>
            <w:tcBorders>
              <w:top w:val="nil"/>
              <w:left w:val="nil"/>
              <w:bottom w:val="nil"/>
              <w:right w:val="nil"/>
            </w:tcBorders>
            <w:shd w:val="clear" w:color="auto" w:fill="auto"/>
            <w:noWrap/>
            <w:vAlign w:val="center"/>
            <w:hideMark/>
          </w:tcPr>
          <w:p w14:paraId="57D9BD08"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2.2%</w:t>
            </w:r>
          </w:p>
        </w:tc>
      </w:tr>
      <w:tr w:rsidR="003B41C3" w:rsidRPr="009E3572" w14:paraId="69CEEC4F" w14:textId="77777777" w:rsidTr="003B41C3">
        <w:trPr>
          <w:trHeight w:val="158"/>
        </w:trPr>
        <w:tc>
          <w:tcPr>
            <w:tcW w:w="4841" w:type="dxa"/>
            <w:tcBorders>
              <w:top w:val="nil"/>
              <w:left w:val="nil"/>
              <w:bottom w:val="nil"/>
              <w:right w:val="nil"/>
            </w:tcBorders>
            <w:shd w:val="clear" w:color="auto" w:fill="auto"/>
            <w:noWrap/>
            <w:vAlign w:val="bottom"/>
            <w:hideMark/>
          </w:tcPr>
          <w:p w14:paraId="41AFBBE3" w14:textId="77777777" w:rsidR="003B41C3" w:rsidRPr="009E3572" w:rsidRDefault="003B41C3" w:rsidP="003B41C3">
            <w:pPr>
              <w:spacing w:after="0"/>
              <w:rPr>
                <w:rFonts w:eastAsia="Times New Roman" w:cs="Calibri"/>
                <w:color w:val="000000"/>
                <w:sz w:val="20"/>
                <w:szCs w:val="20"/>
                <w:lang w:val="es-CO"/>
              </w:rPr>
            </w:pPr>
            <w:r w:rsidRPr="009E3572">
              <w:rPr>
                <w:rFonts w:eastAsia="Times New Roman" w:cs="Calibri"/>
                <w:color w:val="000000"/>
                <w:sz w:val="20"/>
                <w:szCs w:val="20"/>
                <w:lang w:val="es-CO"/>
              </w:rPr>
              <w:t>MINISTERIO DE INTERIOR Y JUSTICIA</w:t>
            </w:r>
          </w:p>
        </w:tc>
        <w:tc>
          <w:tcPr>
            <w:tcW w:w="954" w:type="dxa"/>
            <w:tcBorders>
              <w:top w:val="nil"/>
              <w:left w:val="nil"/>
              <w:bottom w:val="nil"/>
              <w:right w:val="nil"/>
            </w:tcBorders>
            <w:shd w:val="clear" w:color="auto" w:fill="auto"/>
            <w:noWrap/>
            <w:vAlign w:val="center"/>
            <w:hideMark/>
          </w:tcPr>
          <w:p w14:paraId="0DC7D327"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2.95</w:t>
            </w:r>
          </w:p>
        </w:tc>
        <w:tc>
          <w:tcPr>
            <w:tcW w:w="1030" w:type="dxa"/>
            <w:tcBorders>
              <w:top w:val="nil"/>
              <w:left w:val="nil"/>
              <w:bottom w:val="nil"/>
              <w:right w:val="nil"/>
            </w:tcBorders>
            <w:shd w:val="clear" w:color="auto" w:fill="auto"/>
            <w:noWrap/>
            <w:vAlign w:val="center"/>
            <w:hideMark/>
          </w:tcPr>
          <w:p w14:paraId="45FC30EC"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1.6%</w:t>
            </w:r>
          </w:p>
        </w:tc>
        <w:tc>
          <w:tcPr>
            <w:tcW w:w="781" w:type="dxa"/>
            <w:tcBorders>
              <w:top w:val="nil"/>
              <w:left w:val="nil"/>
              <w:bottom w:val="nil"/>
              <w:right w:val="nil"/>
            </w:tcBorders>
            <w:shd w:val="clear" w:color="auto" w:fill="auto"/>
            <w:noWrap/>
            <w:vAlign w:val="center"/>
            <w:hideMark/>
          </w:tcPr>
          <w:p w14:paraId="76ED9896"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1.9</w:t>
            </w:r>
          </w:p>
        </w:tc>
        <w:tc>
          <w:tcPr>
            <w:tcW w:w="1340" w:type="dxa"/>
            <w:tcBorders>
              <w:top w:val="nil"/>
              <w:left w:val="nil"/>
              <w:bottom w:val="nil"/>
              <w:right w:val="nil"/>
            </w:tcBorders>
            <w:shd w:val="clear" w:color="auto" w:fill="auto"/>
            <w:noWrap/>
            <w:vAlign w:val="center"/>
            <w:hideMark/>
          </w:tcPr>
          <w:p w14:paraId="14039DF1"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1.8%</w:t>
            </w:r>
          </w:p>
        </w:tc>
      </w:tr>
      <w:tr w:rsidR="003B41C3" w:rsidRPr="009E3572" w14:paraId="3B9628C4" w14:textId="77777777" w:rsidTr="003B41C3">
        <w:trPr>
          <w:trHeight w:val="82"/>
        </w:trPr>
        <w:tc>
          <w:tcPr>
            <w:tcW w:w="4841" w:type="dxa"/>
            <w:tcBorders>
              <w:top w:val="nil"/>
              <w:left w:val="nil"/>
              <w:bottom w:val="nil"/>
              <w:right w:val="nil"/>
            </w:tcBorders>
            <w:shd w:val="clear" w:color="auto" w:fill="auto"/>
            <w:noWrap/>
            <w:vAlign w:val="bottom"/>
            <w:hideMark/>
          </w:tcPr>
          <w:p w14:paraId="424C70A9" w14:textId="77777777" w:rsidR="003B41C3" w:rsidRPr="009E3572" w:rsidRDefault="003B41C3" w:rsidP="003B41C3">
            <w:pPr>
              <w:spacing w:after="0"/>
              <w:rPr>
                <w:rFonts w:eastAsia="Times New Roman" w:cs="Calibri"/>
                <w:color w:val="000000"/>
                <w:sz w:val="20"/>
                <w:szCs w:val="20"/>
                <w:lang w:val="es-CO"/>
              </w:rPr>
            </w:pPr>
            <w:r w:rsidRPr="009E3572">
              <w:rPr>
                <w:rFonts w:eastAsia="Times New Roman" w:cs="Calibri"/>
                <w:color w:val="000000"/>
                <w:sz w:val="20"/>
                <w:szCs w:val="20"/>
                <w:lang w:val="es-CO"/>
              </w:rPr>
              <w:t>INSTITUTO NACIONAL DE VÍAS – INVIAS</w:t>
            </w:r>
          </w:p>
        </w:tc>
        <w:tc>
          <w:tcPr>
            <w:tcW w:w="954" w:type="dxa"/>
            <w:tcBorders>
              <w:top w:val="nil"/>
              <w:left w:val="nil"/>
              <w:bottom w:val="nil"/>
              <w:right w:val="nil"/>
            </w:tcBorders>
            <w:shd w:val="clear" w:color="auto" w:fill="auto"/>
            <w:noWrap/>
            <w:vAlign w:val="center"/>
            <w:hideMark/>
          </w:tcPr>
          <w:p w14:paraId="098AD4B2"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2.66</w:t>
            </w:r>
          </w:p>
        </w:tc>
        <w:tc>
          <w:tcPr>
            <w:tcW w:w="1030" w:type="dxa"/>
            <w:tcBorders>
              <w:top w:val="nil"/>
              <w:left w:val="nil"/>
              <w:bottom w:val="nil"/>
              <w:right w:val="nil"/>
            </w:tcBorders>
            <w:shd w:val="clear" w:color="auto" w:fill="auto"/>
            <w:noWrap/>
            <w:vAlign w:val="center"/>
            <w:hideMark/>
          </w:tcPr>
          <w:p w14:paraId="2E0E6737"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1.4%</w:t>
            </w:r>
          </w:p>
        </w:tc>
        <w:tc>
          <w:tcPr>
            <w:tcW w:w="781" w:type="dxa"/>
            <w:tcBorders>
              <w:top w:val="nil"/>
              <w:left w:val="nil"/>
              <w:bottom w:val="nil"/>
              <w:right w:val="nil"/>
            </w:tcBorders>
            <w:shd w:val="clear" w:color="auto" w:fill="auto"/>
            <w:noWrap/>
            <w:vAlign w:val="center"/>
            <w:hideMark/>
          </w:tcPr>
          <w:p w14:paraId="799A6572"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1.6</w:t>
            </w:r>
          </w:p>
        </w:tc>
        <w:tc>
          <w:tcPr>
            <w:tcW w:w="1340" w:type="dxa"/>
            <w:tcBorders>
              <w:top w:val="nil"/>
              <w:left w:val="nil"/>
              <w:bottom w:val="nil"/>
              <w:right w:val="nil"/>
            </w:tcBorders>
            <w:shd w:val="clear" w:color="auto" w:fill="auto"/>
            <w:noWrap/>
            <w:vAlign w:val="center"/>
            <w:hideMark/>
          </w:tcPr>
          <w:p w14:paraId="3332B6A8"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1.5%</w:t>
            </w:r>
          </w:p>
        </w:tc>
      </w:tr>
      <w:tr w:rsidR="003B41C3" w:rsidRPr="009E3572" w14:paraId="5783DA34" w14:textId="77777777" w:rsidTr="003B41C3">
        <w:trPr>
          <w:trHeight w:val="148"/>
        </w:trPr>
        <w:tc>
          <w:tcPr>
            <w:tcW w:w="4841" w:type="dxa"/>
            <w:tcBorders>
              <w:top w:val="nil"/>
              <w:left w:val="nil"/>
              <w:bottom w:val="nil"/>
              <w:right w:val="nil"/>
            </w:tcBorders>
            <w:shd w:val="clear" w:color="auto" w:fill="auto"/>
            <w:noWrap/>
            <w:vAlign w:val="bottom"/>
            <w:hideMark/>
          </w:tcPr>
          <w:p w14:paraId="0AA6C9F6" w14:textId="77777777" w:rsidR="003B41C3" w:rsidRPr="009E3572" w:rsidRDefault="003B41C3" w:rsidP="003B41C3">
            <w:pPr>
              <w:spacing w:after="0"/>
              <w:rPr>
                <w:rFonts w:eastAsia="Times New Roman" w:cs="Calibri"/>
                <w:color w:val="000000"/>
                <w:sz w:val="20"/>
                <w:szCs w:val="20"/>
                <w:lang w:val="es-CO"/>
              </w:rPr>
            </w:pPr>
            <w:r w:rsidRPr="009E3572">
              <w:rPr>
                <w:rFonts w:eastAsia="Times New Roman" w:cs="Calibri"/>
                <w:color w:val="000000"/>
                <w:sz w:val="20"/>
                <w:szCs w:val="20"/>
                <w:lang w:val="es-CO"/>
              </w:rPr>
              <w:t xml:space="preserve">DEPTARTAMENTO ADMINISTRATIVO DE LA PRESIDENCIA </w:t>
            </w:r>
          </w:p>
        </w:tc>
        <w:tc>
          <w:tcPr>
            <w:tcW w:w="954" w:type="dxa"/>
            <w:tcBorders>
              <w:top w:val="nil"/>
              <w:left w:val="nil"/>
              <w:bottom w:val="nil"/>
              <w:right w:val="nil"/>
            </w:tcBorders>
            <w:shd w:val="clear" w:color="auto" w:fill="auto"/>
            <w:noWrap/>
            <w:vAlign w:val="center"/>
            <w:hideMark/>
          </w:tcPr>
          <w:p w14:paraId="3B9EA547"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2.21</w:t>
            </w:r>
          </w:p>
        </w:tc>
        <w:tc>
          <w:tcPr>
            <w:tcW w:w="1030" w:type="dxa"/>
            <w:tcBorders>
              <w:top w:val="nil"/>
              <w:left w:val="nil"/>
              <w:bottom w:val="nil"/>
              <w:right w:val="nil"/>
            </w:tcBorders>
            <w:shd w:val="clear" w:color="auto" w:fill="auto"/>
            <w:noWrap/>
            <w:vAlign w:val="center"/>
            <w:hideMark/>
          </w:tcPr>
          <w:p w14:paraId="50377680"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1.2%</w:t>
            </w:r>
          </w:p>
        </w:tc>
        <w:tc>
          <w:tcPr>
            <w:tcW w:w="781" w:type="dxa"/>
            <w:tcBorders>
              <w:top w:val="nil"/>
              <w:left w:val="nil"/>
              <w:bottom w:val="nil"/>
              <w:right w:val="nil"/>
            </w:tcBorders>
            <w:shd w:val="clear" w:color="auto" w:fill="auto"/>
            <w:noWrap/>
            <w:vAlign w:val="center"/>
            <w:hideMark/>
          </w:tcPr>
          <w:p w14:paraId="7AC9E0F1"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1.5</w:t>
            </w:r>
          </w:p>
        </w:tc>
        <w:tc>
          <w:tcPr>
            <w:tcW w:w="1340" w:type="dxa"/>
            <w:tcBorders>
              <w:top w:val="nil"/>
              <w:left w:val="nil"/>
              <w:bottom w:val="nil"/>
              <w:right w:val="nil"/>
            </w:tcBorders>
            <w:shd w:val="clear" w:color="auto" w:fill="auto"/>
            <w:noWrap/>
            <w:vAlign w:val="center"/>
            <w:hideMark/>
          </w:tcPr>
          <w:p w14:paraId="2DC77297"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1.3%</w:t>
            </w:r>
          </w:p>
        </w:tc>
      </w:tr>
      <w:tr w:rsidR="003B41C3" w:rsidRPr="009E3572" w14:paraId="3DF23835" w14:textId="77777777" w:rsidTr="003B41C3">
        <w:trPr>
          <w:trHeight w:val="248"/>
        </w:trPr>
        <w:tc>
          <w:tcPr>
            <w:tcW w:w="4841" w:type="dxa"/>
            <w:tcBorders>
              <w:top w:val="nil"/>
              <w:left w:val="nil"/>
              <w:bottom w:val="nil"/>
              <w:right w:val="nil"/>
            </w:tcBorders>
            <w:shd w:val="clear" w:color="auto" w:fill="auto"/>
            <w:noWrap/>
            <w:vAlign w:val="bottom"/>
            <w:hideMark/>
          </w:tcPr>
          <w:p w14:paraId="7856E470" w14:textId="77777777" w:rsidR="003B41C3" w:rsidRPr="009E3572" w:rsidRDefault="003B41C3" w:rsidP="003B41C3">
            <w:pPr>
              <w:spacing w:after="0"/>
              <w:rPr>
                <w:rFonts w:eastAsia="Times New Roman" w:cs="Calibri"/>
                <w:color w:val="000000"/>
                <w:sz w:val="20"/>
                <w:szCs w:val="20"/>
                <w:lang w:val="es-CO"/>
              </w:rPr>
            </w:pPr>
            <w:r w:rsidRPr="009E3572">
              <w:rPr>
                <w:rFonts w:eastAsia="Times New Roman" w:cs="Calibri"/>
                <w:color w:val="000000"/>
                <w:sz w:val="20"/>
                <w:szCs w:val="20"/>
                <w:lang w:val="es-CO"/>
              </w:rPr>
              <w:t>MINISTERIO DE AMBIENTE VIVIENDA Y DESARROLLO TERRITORIAL</w:t>
            </w:r>
          </w:p>
        </w:tc>
        <w:tc>
          <w:tcPr>
            <w:tcW w:w="954" w:type="dxa"/>
            <w:tcBorders>
              <w:top w:val="nil"/>
              <w:left w:val="nil"/>
              <w:bottom w:val="nil"/>
              <w:right w:val="nil"/>
            </w:tcBorders>
            <w:shd w:val="clear" w:color="auto" w:fill="auto"/>
            <w:noWrap/>
            <w:vAlign w:val="center"/>
            <w:hideMark/>
          </w:tcPr>
          <w:p w14:paraId="38869DF1"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2.61</w:t>
            </w:r>
          </w:p>
        </w:tc>
        <w:tc>
          <w:tcPr>
            <w:tcW w:w="1030" w:type="dxa"/>
            <w:tcBorders>
              <w:top w:val="nil"/>
              <w:left w:val="nil"/>
              <w:bottom w:val="nil"/>
              <w:right w:val="nil"/>
            </w:tcBorders>
            <w:shd w:val="clear" w:color="auto" w:fill="auto"/>
            <w:noWrap/>
            <w:vAlign w:val="center"/>
            <w:hideMark/>
          </w:tcPr>
          <w:p w14:paraId="1F65E6C4"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1.4%</w:t>
            </w:r>
          </w:p>
        </w:tc>
        <w:tc>
          <w:tcPr>
            <w:tcW w:w="781" w:type="dxa"/>
            <w:tcBorders>
              <w:top w:val="nil"/>
              <w:left w:val="nil"/>
              <w:bottom w:val="nil"/>
              <w:right w:val="nil"/>
            </w:tcBorders>
            <w:shd w:val="clear" w:color="auto" w:fill="auto"/>
            <w:noWrap/>
            <w:vAlign w:val="center"/>
            <w:hideMark/>
          </w:tcPr>
          <w:p w14:paraId="2352BA3B"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1.3</w:t>
            </w:r>
          </w:p>
        </w:tc>
        <w:tc>
          <w:tcPr>
            <w:tcW w:w="1340" w:type="dxa"/>
            <w:tcBorders>
              <w:top w:val="nil"/>
              <w:left w:val="nil"/>
              <w:bottom w:val="nil"/>
              <w:right w:val="nil"/>
            </w:tcBorders>
            <w:shd w:val="clear" w:color="auto" w:fill="auto"/>
            <w:noWrap/>
            <w:vAlign w:val="center"/>
            <w:hideMark/>
          </w:tcPr>
          <w:p w14:paraId="37BF38C9" w14:textId="77777777" w:rsidR="003B41C3" w:rsidRPr="009E3572" w:rsidRDefault="003B41C3" w:rsidP="003B41C3">
            <w:pPr>
              <w:spacing w:after="0"/>
              <w:jc w:val="center"/>
              <w:rPr>
                <w:rFonts w:eastAsia="Times New Roman" w:cs="Calibri"/>
                <w:color w:val="000000"/>
                <w:sz w:val="20"/>
                <w:szCs w:val="20"/>
                <w:lang w:val="en-US"/>
              </w:rPr>
            </w:pPr>
            <w:r w:rsidRPr="009E3572">
              <w:rPr>
                <w:rFonts w:eastAsia="Times New Roman" w:cs="Calibri"/>
                <w:color w:val="000000"/>
                <w:sz w:val="20"/>
                <w:szCs w:val="20"/>
                <w:lang w:val="en-US"/>
              </w:rPr>
              <w:t>1.2%</w:t>
            </w:r>
          </w:p>
        </w:tc>
      </w:tr>
      <w:tr w:rsidR="003B41C3" w:rsidRPr="009E3572" w14:paraId="3ED0BAEA" w14:textId="77777777" w:rsidTr="003B41C3">
        <w:trPr>
          <w:trHeight w:val="226"/>
        </w:trPr>
        <w:tc>
          <w:tcPr>
            <w:tcW w:w="4841" w:type="dxa"/>
            <w:tcBorders>
              <w:top w:val="single" w:sz="4" w:space="0" w:color="1F497D"/>
              <w:left w:val="nil"/>
              <w:bottom w:val="nil"/>
              <w:right w:val="nil"/>
            </w:tcBorders>
            <w:shd w:val="clear" w:color="auto" w:fill="auto"/>
            <w:noWrap/>
            <w:vAlign w:val="bottom"/>
            <w:hideMark/>
          </w:tcPr>
          <w:p w14:paraId="10632425" w14:textId="77777777" w:rsidR="003B41C3" w:rsidRPr="009E3572" w:rsidRDefault="003B41C3" w:rsidP="003B41C3">
            <w:pPr>
              <w:spacing w:after="0"/>
              <w:rPr>
                <w:rFonts w:eastAsia="Times New Roman" w:cs="Calibri"/>
                <w:b/>
                <w:bCs/>
                <w:color w:val="000000"/>
                <w:sz w:val="20"/>
                <w:szCs w:val="20"/>
                <w:lang w:val="en-US"/>
              </w:rPr>
            </w:pPr>
            <w:r w:rsidRPr="009E3572">
              <w:rPr>
                <w:rFonts w:eastAsia="Times New Roman" w:cs="Calibri"/>
                <w:b/>
                <w:bCs/>
                <w:color w:val="000000"/>
                <w:sz w:val="20"/>
                <w:szCs w:val="20"/>
                <w:lang w:val="en-US"/>
              </w:rPr>
              <w:t>Subtotal</w:t>
            </w:r>
          </w:p>
        </w:tc>
        <w:tc>
          <w:tcPr>
            <w:tcW w:w="954" w:type="dxa"/>
            <w:tcBorders>
              <w:top w:val="single" w:sz="4" w:space="0" w:color="1F497D"/>
              <w:left w:val="nil"/>
              <w:bottom w:val="nil"/>
              <w:right w:val="nil"/>
            </w:tcBorders>
            <w:shd w:val="clear" w:color="auto" w:fill="auto"/>
            <w:noWrap/>
            <w:vAlign w:val="center"/>
            <w:hideMark/>
          </w:tcPr>
          <w:p w14:paraId="466E5F94" w14:textId="77777777" w:rsidR="003B41C3" w:rsidRPr="009E3572" w:rsidRDefault="003B41C3" w:rsidP="003B41C3">
            <w:pPr>
              <w:spacing w:after="0"/>
              <w:jc w:val="center"/>
              <w:rPr>
                <w:rFonts w:eastAsia="Times New Roman" w:cs="Calibri"/>
                <w:b/>
                <w:bCs/>
                <w:color w:val="000000"/>
                <w:sz w:val="20"/>
                <w:szCs w:val="20"/>
                <w:lang w:val="en-US"/>
              </w:rPr>
            </w:pPr>
            <w:r w:rsidRPr="009E3572">
              <w:rPr>
                <w:rFonts w:eastAsia="Times New Roman" w:cs="Calibri"/>
                <w:b/>
                <w:bCs/>
                <w:color w:val="000000"/>
                <w:sz w:val="20"/>
                <w:szCs w:val="20"/>
                <w:lang w:val="en-US"/>
              </w:rPr>
              <w:t>141.33</w:t>
            </w:r>
          </w:p>
        </w:tc>
        <w:tc>
          <w:tcPr>
            <w:tcW w:w="1030" w:type="dxa"/>
            <w:tcBorders>
              <w:top w:val="single" w:sz="4" w:space="0" w:color="1F497D"/>
              <w:left w:val="nil"/>
              <w:bottom w:val="nil"/>
              <w:right w:val="nil"/>
            </w:tcBorders>
            <w:shd w:val="clear" w:color="auto" w:fill="auto"/>
            <w:noWrap/>
            <w:vAlign w:val="center"/>
            <w:hideMark/>
          </w:tcPr>
          <w:p w14:paraId="13559D31" w14:textId="77777777" w:rsidR="003B41C3" w:rsidRPr="009E3572" w:rsidRDefault="003B41C3" w:rsidP="003B41C3">
            <w:pPr>
              <w:spacing w:after="0"/>
              <w:jc w:val="center"/>
              <w:rPr>
                <w:rFonts w:eastAsia="Times New Roman" w:cs="Calibri"/>
                <w:b/>
                <w:bCs/>
                <w:color w:val="000000"/>
                <w:sz w:val="20"/>
                <w:szCs w:val="20"/>
                <w:lang w:val="en-US"/>
              </w:rPr>
            </w:pPr>
            <w:r w:rsidRPr="009E3572">
              <w:rPr>
                <w:rFonts w:eastAsia="Times New Roman" w:cs="Calibri"/>
                <w:b/>
                <w:bCs/>
                <w:color w:val="000000"/>
                <w:sz w:val="20"/>
                <w:szCs w:val="20"/>
                <w:lang w:val="en-US"/>
              </w:rPr>
              <w:t>75.4%</w:t>
            </w:r>
          </w:p>
        </w:tc>
        <w:tc>
          <w:tcPr>
            <w:tcW w:w="781" w:type="dxa"/>
            <w:tcBorders>
              <w:top w:val="single" w:sz="4" w:space="0" w:color="1F497D"/>
              <w:left w:val="nil"/>
              <w:bottom w:val="nil"/>
              <w:right w:val="nil"/>
            </w:tcBorders>
            <w:shd w:val="clear" w:color="auto" w:fill="auto"/>
            <w:noWrap/>
            <w:vAlign w:val="center"/>
            <w:hideMark/>
          </w:tcPr>
          <w:p w14:paraId="567C0DE8" w14:textId="77777777" w:rsidR="003B41C3" w:rsidRPr="009E3572" w:rsidRDefault="003B41C3" w:rsidP="003B41C3">
            <w:pPr>
              <w:spacing w:after="0"/>
              <w:jc w:val="center"/>
              <w:rPr>
                <w:rFonts w:eastAsia="Times New Roman" w:cs="Calibri"/>
                <w:b/>
                <w:bCs/>
                <w:color w:val="000000"/>
                <w:sz w:val="20"/>
                <w:szCs w:val="20"/>
                <w:lang w:val="en-US"/>
              </w:rPr>
            </w:pPr>
            <w:r w:rsidRPr="009E3572">
              <w:rPr>
                <w:rFonts w:eastAsia="Times New Roman" w:cs="Calibri"/>
                <w:b/>
                <w:bCs/>
                <w:color w:val="000000"/>
                <w:sz w:val="20"/>
                <w:szCs w:val="20"/>
                <w:lang w:val="en-US"/>
              </w:rPr>
              <w:t>84.10</w:t>
            </w:r>
          </w:p>
        </w:tc>
        <w:tc>
          <w:tcPr>
            <w:tcW w:w="1340" w:type="dxa"/>
            <w:tcBorders>
              <w:top w:val="single" w:sz="4" w:space="0" w:color="1F497D"/>
              <w:left w:val="nil"/>
              <w:bottom w:val="nil"/>
              <w:right w:val="nil"/>
            </w:tcBorders>
            <w:shd w:val="clear" w:color="auto" w:fill="auto"/>
            <w:noWrap/>
            <w:vAlign w:val="center"/>
            <w:hideMark/>
          </w:tcPr>
          <w:p w14:paraId="702E6474" w14:textId="77777777" w:rsidR="003B41C3" w:rsidRPr="009E3572" w:rsidRDefault="003B41C3" w:rsidP="003B41C3">
            <w:pPr>
              <w:spacing w:after="0"/>
              <w:jc w:val="center"/>
              <w:rPr>
                <w:rFonts w:eastAsia="Times New Roman" w:cs="Calibri"/>
                <w:b/>
                <w:bCs/>
                <w:color w:val="000000"/>
                <w:sz w:val="20"/>
                <w:szCs w:val="20"/>
                <w:lang w:val="en-US"/>
              </w:rPr>
            </w:pPr>
            <w:r w:rsidRPr="009E3572">
              <w:rPr>
                <w:rFonts w:eastAsia="Times New Roman" w:cs="Calibri"/>
                <w:b/>
                <w:bCs/>
                <w:color w:val="000000"/>
                <w:sz w:val="20"/>
                <w:szCs w:val="20"/>
                <w:lang w:val="en-US"/>
              </w:rPr>
              <w:t>76.9%</w:t>
            </w:r>
          </w:p>
        </w:tc>
      </w:tr>
      <w:tr w:rsidR="003B41C3" w:rsidRPr="009E3572" w14:paraId="12062044" w14:textId="77777777" w:rsidTr="003B41C3">
        <w:trPr>
          <w:trHeight w:val="146"/>
        </w:trPr>
        <w:tc>
          <w:tcPr>
            <w:tcW w:w="4841" w:type="dxa"/>
            <w:tcBorders>
              <w:top w:val="nil"/>
              <w:left w:val="nil"/>
              <w:bottom w:val="nil"/>
              <w:right w:val="nil"/>
            </w:tcBorders>
            <w:shd w:val="clear" w:color="auto" w:fill="auto"/>
            <w:noWrap/>
            <w:vAlign w:val="bottom"/>
            <w:hideMark/>
          </w:tcPr>
          <w:p w14:paraId="689F77C0" w14:textId="77777777" w:rsidR="003B41C3" w:rsidRPr="009E3572" w:rsidRDefault="003B41C3" w:rsidP="003B41C3">
            <w:pPr>
              <w:spacing w:after="0"/>
              <w:rPr>
                <w:rFonts w:eastAsia="Times New Roman" w:cs="Calibri"/>
                <w:b/>
                <w:bCs/>
                <w:color w:val="000000"/>
                <w:sz w:val="20"/>
                <w:szCs w:val="20"/>
                <w:lang w:val="en-US"/>
              </w:rPr>
            </w:pPr>
            <w:r w:rsidRPr="009E3572">
              <w:rPr>
                <w:rFonts w:eastAsia="Times New Roman" w:cs="Calibri"/>
                <w:b/>
                <w:bCs/>
                <w:color w:val="000000"/>
                <w:sz w:val="20"/>
                <w:szCs w:val="20"/>
                <w:lang w:val="en-US"/>
              </w:rPr>
              <w:t>Total</w:t>
            </w:r>
          </w:p>
        </w:tc>
        <w:tc>
          <w:tcPr>
            <w:tcW w:w="954" w:type="dxa"/>
            <w:tcBorders>
              <w:top w:val="nil"/>
              <w:left w:val="nil"/>
              <w:bottom w:val="nil"/>
              <w:right w:val="nil"/>
            </w:tcBorders>
            <w:shd w:val="clear" w:color="auto" w:fill="auto"/>
            <w:noWrap/>
            <w:vAlign w:val="center"/>
            <w:hideMark/>
          </w:tcPr>
          <w:p w14:paraId="48C1EB4C" w14:textId="77777777" w:rsidR="003B41C3" w:rsidRPr="009E3572" w:rsidRDefault="003B41C3" w:rsidP="003B41C3">
            <w:pPr>
              <w:spacing w:after="0"/>
              <w:jc w:val="center"/>
              <w:rPr>
                <w:rFonts w:eastAsia="Times New Roman" w:cs="Calibri"/>
                <w:b/>
                <w:bCs/>
                <w:color w:val="000000"/>
                <w:sz w:val="20"/>
                <w:szCs w:val="20"/>
                <w:lang w:val="en-US"/>
              </w:rPr>
            </w:pPr>
            <w:r w:rsidRPr="009E3572">
              <w:rPr>
                <w:rFonts w:eastAsia="Times New Roman" w:cs="Calibri"/>
                <w:b/>
                <w:bCs/>
                <w:color w:val="000000"/>
                <w:sz w:val="20"/>
                <w:szCs w:val="20"/>
                <w:lang w:val="en-US"/>
              </w:rPr>
              <w:t>175.36</w:t>
            </w:r>
          </w:p>
        </w:tc>
        <w:tc>
          <w:tcPr>
            <w:tcW w:w="1030" w:type="dxa"/>
            <w:tcBorders>
              <w:top w:val="nil"/>
              <w:left w:val="nil"/>
              <w:bottom w:val="nil"/>
              <w:right w:val="nil"/>
            </w:tcBorders>
            <w:shd w:val="clear" w:color="auto" w:fill="auto"/>
            <w:noWrap/>
            <w:vAlign w:val="center"/>
            <w:hideMark/>
          </w:tcPr>
          <w:p w14:paraId="526CA7B0" w14:textId="77777777" w:rsidR="003B41C3" w:rsidRPr="009E3572" w:rsidRDefault="003B41C3" w:rsidP="003B41C3">
            <w:pPr>
              <w:spacing w:after="0"/>
              <w:jc w:val="center"/>
              <w:rPr>
                <w:rFonts w:eastAsia="Times New Roman" w:cs="Calibri"/>
                <w:b/>
                <w:bCs/>
                <w:color w:val="000000"/>
                <w:sz w:val="20"/>
                <w:szCs w:val="20"/>
                <w:lang w:val="en-US"/>
              </w:rPr>
            </w:pPr>
            <w:r w:rsidRPr="009E3572">
              <w:rPr>
                <w:rFonts w:eastAsia="Times New Roman" w:cs="Calibri"/>
                <w:b/>
                <w:bCs/>
                <w:color w:val="000000"/>
                <w:sz w:val="20"/>
                <w:szCs w:val="20"/>
                <w:lang w:val="en-US"/>
              </w:rPr>
              <w:t>100.0%</w:t>
            </w:r>
          </w:p>
        </w:tc>
        <w:tc>
          <w:tcPr>
            <w:tcW w:w="781" w:type="dxa"/>
            <w:tcBorders>
              <w:top w:val="nil"/>
              <w:left w:val="nil"/>
              <w:bottom w:val="nil"/>
              <w:right w:val="nil"/>
            </w:tcBorders>
            <w:shd w:val="clear" w:color="auto" w:fill="auto"/>
            <w:noWrap/>
            <w:vAlign w:val="center"/>
            <w:hideMark/>
          </w:tcPr>
          <w:p w14:paraId="2D69E60D" w14:textId="77777777" w:rsidR="003B41C3" w:rsidRPr="009E3572" w:rsidRDefault="003B41C3" w:rsidP="003B41C3">
            <w:pPr>
              <w:spacing w:after="0"/>
              <w:jc w:val="center"/>
              <w:rPr>
                <w:rFonts w:eastAsia="Times New Roman" w:cs="Calibri"/>
                <w:b/>
                <w:bCs/>
                <w:color w:val="000000"/>
                <w:sz w:val="20"/>
                <w:szCs w:val="20"/>
                <w:lang w:val="en-US"/>
              </w:rPr>
            </w:pPr>
            <w:r w:rsidRPr="009E3572">
              <w:rPr>
                <w:rFonts w:eastAsia="Times New Roman" w:cs="Calibri"/>
                <w:b/>
                <w:bCs/>
                <w:color w:val="000000"/>
                <w:sz w:val="20"/>
                <w:szCs w:val="20"/>
                <w:lang w:val="en-US"/>
              </w:rPr>
              <w:t>102.1</w:t>
            </w:r>
          </w:p>
        </w:tc>
        <w:tc>
          <w:tcPr>
            <w:tcW w:w="1340" w:type="dxa"/>
            <w:tcBorders>
              <w:top w:val="nil"/>
              <w:left w:val="nil"/>
              <w:bottom w:val="nil"/>
              <w:right w:val="nil"/>
            </w:tcBorders>
            <w:shd w:val="clear" w:color="auto" w:fill="auto"/>
            <w:noWrap/>
            <w:vAlign w:val="center"/>
            <w:hideMark/>
          </w:tcPr>
          <w:p w14:paraId="52AB55C4" w14:textId="77777777" w:rsidR="003B41C3" w:rsidRPr="009E3572" w:rsidRDefault="003B41C3" w:rsidP="003B41C3">
            <w:pPr>
              <w:spacing w:after="0"/>
              <w:jc w:val="center"/>
              <w:rPr>
                <w:rFonts w:eastAsia="Times New Roman" w:cs="Calibri"/>
                <w:b/>
                <w:bCs/>
                <w:color w:val="000000"/>
                <w:sz w:val="20"/>
                <w:szCs w:val="20"/>
                <w:lang w:val="en-US"/>
              </w:rPr>
            </w:pPr>
            <w:r w:rsidRPr="009E3572">
              <w:rPr>
                <w:rFonts w:eastAsia="Times New Roman" w:cs="Calibri"/>
                <w:b/>
                <w:bCs/>
                <w:color w:val="000000"/>
                <w:sz w:val="20"/>
                <w:szCs w:val="20"/>
                <w:lang w:val="en-US"/>
              </w:rPr>
              <w:t>100.0%</w:t>
            </w:r>
          </w:p>
        </w:tc>
      </w:tr>
    </w:tbl>
    <w:p w14:paraId="10107EF0" w14:textId="77777777" w:rsidR="003B41C3" w:rsidRDefault="003B41C3" w:rsidP="003B41C3">
      <w:pPr>
        <w:pStyle w:val="Textonotapie"/>
        <w:jc w:val="center"/>
        <w:rPr>
          <w:rFonts w:cs="Arial"/>
          <w:b/>
          <w:sz w:val="18"/>
          <w:szCs w:val="18"/>
        </w:rPr>
      </w:pPr>
    </w:p>
    <w:p w14:paraId="63E2736F" w14:textId="77777777" w:rsidR="003B41C3" w:rsidRDefault="003B41C3" w:rsidP="003B41C3">
      <w:pPr>
        <w:pStyle w:val="Textonotapie"/>
        <w:jc w:val="center"/>
        <w:rPr>
          <w:rFonts w:cs="Arial"/>
          <w:sz w:val="18"/>
          <w:lang w:val="es-CO"/>
        </w:rPr>
      </w:pPr>
      <w:r w:rsidRPr="004E5F7F">
        <w:rPr>
          <w:rFonts w:cs="Arial"/>
          <w:b/>
          <w:sz w:val="18"/>
          <w:szCs w:val="18"/>
        </w:rPr>
        <w:t>Fuente</w:t>
      </w:r>
      <w:r w:rsidRPr="004E5F7F">
        <w:rPr>
          <w:rFonts w:cs="Arial"/>
          <w:sz w:val="18"/>
          <w:szCs w:val="18"/>
        </w:rPr>
        <w:t xml:space="preserve">: </w:t>
      </w:r>
      <w:r w:rsidRPr="004E5F7F">
        <w:rPr>
          <w:rFonts w:cs="Arial"/>
          <w:sz w:val="18"/>
          <w:lang w:val="es-CO"/>
        </w:rPr>
        <w:t>Cálculos de la Subdirección de Riesgo de la Dirección General de</w:t>
      </w:r>
      <w:r>
        <w:rPr>
          <w:rFonts w:cs="Arial"/>
          <w:sz w:val="18"/>
          <w:lang w:val="es-CO"/>
        </w:rPr>
        <w:t xml:space="preserve"> </w:t>
      </w:r>
      <w:r w:rsidRPr="004E5F7F">
        <w:rPr>
          <w:rFonts w:cs="Arial"/>
          <w:sz w:val="18"/>
          <w:lang w:val="es-CO"/>
        </w:rPr>
        <w:t>C</w:t>
      </w:r>
      <w:r>
        <w:rPr>
          <w:rFonts w:cs="Arial"/>
          <w:sz w:val="18"/>
          <w:lang w:val="es-CO"/>
        </w:rPr>
        <w:t>rédito Público y Tesoro Nacional</w:t>
      </w:r>
    </w:p>
    <w:p w14:paraId="017356A6" w14:textId="77777777" w:rsidR="003B41C3" w:rsidRDefault="003B41C3" w:rsidP="003B41C3">
      <w:pPr>
        <w:pStyle w:val="Textonotapie"/>
        <w:rPr>
          <w:rFonts w:cs="Arial"/>
          <w:b/>
        </w:rPr>
      </w:pPr>
    </w:p>
    <w:p w14:paraId="40CFD24E" w14:textId="77777777" w:rsidR="003B41C3" w:rsidRDefault="003B41C3" w:rsidP="003B41C3">
      <w:pPr>
        <w:pStyle w:val="Textonotapie"/>
        <w:rPr>
          <w:rFonts w:cs="Arial"/>
          <w:b/>
        </w:rPr>
      </w:pPr>
    </w:p>
    <w:p w14:paraId="7FC3D66C" w14:textId="77777777" w:rsidR="003B41C3" w:rsidRDefault="003B41C3" w:rsidP="003B41C3">
      <w:pPr>
        <w:pStyle w:val="Textonotapie"/>
        <w:rPr>
          <w:rFonts w:cs="Arial"/>
          <w:b/>
        </w:rPr>
      </w:pPr>
    </w:p>
    <w:p w14:paraId="1705DB9B" w14:textId="77777777" w:rsidR="003B41C3" w:rsidRDefault="003B41C3" w:rsidP="003B41C3">
      <w:pPr>
        <w:pStyle w:val="Textonotapie"/>
        <w:rPr>
          <w:rFonts w:cs="Arial"/>
          <w:b/>
        </w:rPr>
      </w:pPr>
    </w:p>
    <w:p w14:paraId="56C69236" w14:textId="77777777" w:rsidR="003B41C3" w:rsidRDefault="003B41C3" w:rsidP="003B41C3">
      <w:pPr>
        <w:pStyle w:val="Textonotapie"/>
        <w:rPr>
          <w:rFonts w:cs="Arial"/>
          <w:b/>
        </w:rPr>
      </w:pPr>
    </w:p>
    <w:p w14:paraId="1AE417B5" w14:textId="77777777" w:rsidR="003B41C3" w:rsidRDefault="003B41C3" w:rsidP="003B41C3">
      <w:pPr>
        <w:pStyle w:val="Textonotapie"/>
        <w:rPr>
          <w:rFonts w:cs="Arial"/>
          <w:b/>
        </w:rPr>
      </w:pPr>
    </w:p>
    <w:p w14:paraId="3B6E386C" w14:textId="77777777" w:rsidR="003B41C3" w:rsidRDefault="003B41C3" w:rsidP="003B41C3">
      <w:pPr>
        <w:pStyle w:val="Textonotapie"/>
        <w:rPr>
          <w:rFonts w:cs="Arial"/>
          <w:b/>
        </w:rPr>
      </w:pPr>
    </w:p>
    <w:p w14:paraId="0E774D85" w14:textId="77777777" w:rsidR="003B41C3" w:rsidRDefault="003B41C3" w:rsidP="003B41C3">
      <w:pPr>
        <w:pStyle w:val="Textonotapie"/>
        <w:rPr>
          <w:rFonts w:cs="Arial"/>
          <w:b/>
        </w:rPr>
      </w:pPr>
    </w:p>
    <w:p w14:paraId="11E5A955" w14:textId="77777777" w:rsidR="003B41C3" w:rsidRDefault="003B41C3" w:rsidP="003B41C3">
      <w:pPr>
        <w:pStyle w:val="Textonotapie"/>
        <w:rPr>
          <w:rFonts w:cs="Arial"/>
          <w:b/>
        </w:rPr>
      </w:pPr>
    </w:p>
    <w:p w14:paraId="329DD654" w14:textId="77777777" w:rsidR="003B41C3" w:rsidRDefault="003B41C3" w:rsidP="003B41C3">
      <w:pPr>
        <w:pStyle w:val="Textonotapie"/>
        <w:rPr>
          <w:rFonts w:cs="Arial"/>
          <w:b/>
        </w:rPr>
      </w:pPr>
    </w:p>
    <w:p w14:paraId="3E6B12DA" w14:textId="77777777" w:rsidR="00187D28" w:rsidRDefault="00187D28" w:rsidP="003B41C3">
      <w:pPr>
        <w:pStyle w:val="Textonotapie"/>
        <w:rPr>
          <w:rFonts w:cs="Arial"/>
          <w:b/>
        </w:rPr>
      </w:pPr>
    </w:p>
    <w:p w14:paraId="6C34340C" w14:textId="77777777" w:rsidR="003B41C3" w:rsidRDefault="003B41C3" w:rsidP="003B41C3">
      <w:pPr>
        <w:pStyle w:val="Textonotapie"/>
        <w:rPr>
          <w:rFonts w:cs="Arial"/>
          <w:b/>
        </w:rPr>
      </w:pPr>
    </w:p>
    <w:p w14:paraId="29BDA0E7" w14:textId="77777777" w:rsidR="003B41C3" w:rsidRDefault="003B41C3" w:rsidP="003B41C3">
      <w:pPr>
        <w:pStyle w:val="Textonotapie"/>
        <w:rPr>
          <w:rFonts w:cs="Arial"/>
          <w:b/>
        </w:rPr>
      </w:pPr>
    </w:p>
    <w:p w14:paraId="6AD29129" w14:textId="77777777" w:rsidR="003B41C3" w:rsidRDefault="003B41C3" w:rsidP="003B41C3">
      <w:pPr>
        <w:pStyle w:val="Textonotapie"/>
        <w:rPr>
          <w:rFonts w:cs="Arial"/>
          <w:b/>
        </w:rPr>
      </w:pPr>
    </w:p>
    <w:p w14:paraId="2B17CA88" w14:textId="77777777" w:rsidR="003B41C3" w:rsidRDefault="003B41C3" w:rsidP="003B41C3">
      <w:pPr>
        <w:pStyle w:val="Textonotapie"/>
        <w:rPr>
          <w:rFonts w:cs="Arial"/>
          <w:b/>
        </w:rPr>
      </w:pPr>
    </w:p>
    <w:p w14:paraId="4AC187F7" w14:textId="77777777" w:rsidR="003B41C3" w:rsidRDefault="003B41C3" w:rsidP="003B41C3">
      <w:pPr>
        <w:pStyle w:val="Textonotapie"/>
        <w:rPr>
          <w:rFonts w:cs="Arial"/>
          <w:b/>
        </w:rPr>
      </w:pPr>
    </w:p>
    <w:p w14:paraId="7D89F049" w14:textId="77777777" w:rsidR="003B41C3" w:rsidRPr="00C41E32" w:rsidRDefault="003B41C3" w:rsidP="003B41C3">
      <w:pPr>
        <w:pStyle w:val="Textonotapie"/>
        <w:numPr>
          <w:ilvl w:val="0"/>
          <w:numId w:val="7"/>
        </w:numPr>
        <w:ind w:left="0" w:right="-283" w:firstLine="0"/>
        <w:rPr>
          <w:rFonts w:cs="Arial"/>
          <w:sz w:val="18"/>
          <w:lang w:val="es-CO"/>
        </w:rPr>
      </w:pPr>
      <w:r w:rsidRPr="00C41E32">
        <w:rPr>
          <w:rFonts w:cs="Arial"/>
          <w:b/>
        </w:rPr>
        <w:lastRenderedPageBreak/>
        <w:t>INFORME NACIONAL Y SECTORIAL GENERAL</w:t>
      </w:r>
      <w:r>
        <w:rPr>
          <w:rFonts w:cs="Arial"/>
          <w:b/>
        </w:rPr>
        <w:t>.</w:t>
      </w:r>
    </w:p>
    <w:p w14:paraId="2FD40D64" w14:textId="77777777" w:rsidR="003B41C3" w:rsidRDefault="003B41C3" w:rsidP="003B41C3">
      <w:pPr>
        <w:ind w:right="-283"/>
        <w:jc w:val="both"/>
        <w:rPr>
          <w:lang w:val="es-CO"/>
        </w:rPr>
      </w:pPr>
    </w:p>
    <w:p w14:paraId="75128C51" w14:textId="77777777" w:rsidR="003B41C3" w:rsidRPr="00C7331E" w:rsidRDefault="003B41C3" w:rsidP="003B41C3">
      <w:pPr>
        <w:ind w:right="-283"/>
        <w:jc w:val="both"/>
        <w:rPr>
          <w:lang w:val="es-CO"/>
        </w:rPr>
      </w:pPr>
      <w:r w:rsidRPr="00C7331E">
        <w:rPr>
          <w:lang w:val="es-CO"/>
        </w:rPr>
        <w:t xml:space="preserve">A continuación se presenta un análisis de la actividad litigiosa nacional y de los  diferentes sectores administrativos en cuanto a procesos judiciales registrados en el </w:t>
      </w:r>
      <w:r w:rsidRPr="00C7331E">
        <w:rPr>
          <w:b/>
          <w:i/>
          <w:lang w:val="es-CO"/>
        </w:rPr>
        <w:t>Sistema Único de Gestión e Información de la Actividad Litigiosa del Estado</w:t>
      </w:r>
      <w:r w:rsidRPr="00C7331E">
        <w:rPr>
          <w:lang w:val="es-CO"/>
        </w:rPr>
        <w:t xml:space="preserve">. </w:t>
      </w:r>
    </w:p>
    <w:p w14:paraId="639DFB35" w14:textId="77777777" w:rsidR="003B41C3" w:rsidRPr="00C7331E" w:rsidRDefault="003B41C3" w:rsidP="003B41C3">
      <w:pPr>
        <w:ind w:right="-283"/>
        <w:jc w:val="both"/>
        <w:rPr>
          <w:lang w:val="es-CO"/>
        </w:rPr>
      </w:pPr>
      <w:r w:rsidRPr="00C7331E">
        <w:rPr>
          <w:lang w:val="es-CO"/>
        </w:rPr>
        <w:t>A septiembre de 2013</w:t>
      </w:r>
      <w:r>
        <w:rPr>
          <w:lang w:val="es-CO"/>
        </w:rPr>
        <w:t>,</w:t>
      </w:r>
      <w:r w:rsidRPr="00C7331E">
        <w:rPr>
          <w:lang w:val="es-CO"/>
        </w:rPr>
        <w:t xml:space="preserve"> el sistema contaba con 266 Entidades Públicas de orden Nacional reportando información de 33 sectores administrativos. Para esa fecha en el sistema había 273.399 procesos activos registrados por un valor de $190.9 billones en pretensiones. Como se analizó anteriormente, existe riesgo de perder $102 billones de estas pretensiones, de acuerdo </w:t>
      </w:r>
      <w:r>
        <w:rPr>
          <w:lang w:val="es-CO"/>
        </w:rPr>
        <w:t>con</w:t>
      </w:r>
      <w:r w:rsidRPr="00C7331E">
        <w:rPr>
          <w:lang w:val="es-CO"/>
        </w:rPr>
        <w:t xml:space="preserve"> los cálculos estadísticos realizados por el MHCP. </w:t>
      </w:r>
    </w:p>
    <w:p w14:paraId="3EBAFCCA" w14:textId="77777777" w:rsidR="003B41C3" w:rsidRPr="00C7331E" w:rsidRDefault="003B41C3" w:rsidP="003B41C3">
      <w:pPr>
        <w:ind w:right="-283"/>
        <w:jc w:val="both"/>
        <w:rPr>
          <w:lang w:val="es-CO"/>
        </w:rPr>
      </w:pPr>
      <w:r w:rsidRPr="00C7331E">
        <w:rPr>
          <w:lang w:val="es-CO"/>
        </w:rPr>
        <w:t xml:space="preserve">Las cifras de procesos judiciales activos en contra de entidades públicas reflejan un incremento de 39.128 procesos en contra de entidades públicas de orden nacional, con unas pretensiones de $12.9 billones en pretensiones, en septiembre de 2013 con respecto a diciembre de 2012. Sin embargo a pesar de que ingresaron estos procesos al sistema, las pretensiones a septiembre de 2013 se redujeron en $27.9 billones de pesos, lo que se debe principalmente al trabajo exhaustivo realizado por la Agencia para depurar y validar la información registrada en el sistema por las diferentes entidades, quienes son las responsables de actualizar todo lo referente a su actividad judicial. </w:t>
      </w:r>
    </w:p>
    <w:p w14:paraId="2680B7BD" w14:textId="77777777" w:rsidR="003B41C3" w:rsidRPr="00C7331E" w:rsidRDefault="003B41C3" w:rsidP="003B41C3">
      <w:pPr>
        <w:ind w:right="-283"/>
        <w:jc w:val="both"/>
        <w:rPr>
          <w:lang w:val="es-CO"/>
        </w:rPr>
      </w:pPr>
      <w:r w:rsidRPr="00C7331E">
        <w:rPr>
          <w:lang w:val="es-CO"/>
        </w:rPr>
        <w:t xml:space="preserve">De los 39.128 procesos radicados en 2013, 23.184 (59%) son procesos cuyas demandas han sido interpuestas en la misma vigencia y alcanzan un valor de $5.9 billones. El resto, son procesos, que gracias a las acciones de validación adelantadas por la Agencia, ha permitido monitorear 15.944 (41%) procesos de años anteriores que se encontraban sub reportados y cuyas pretensiones ascienden a $7.1 billones. </w:t>
      </w:r>
    </w:p>
    <w:p w14:paraId="331585C8" w14:textId="77777777" w:rsidR="003B41C3" w:rsidRDefault="003B41C3" w:rsidP="003B41C3">
      <w:pPr>
        <w:ind w:right="-283"/>
        <w:jc w:val="both"/>
        <w:rPr>
          <w:lang w:val="es-CO"/>
        </w:rPr>
      </w:pPr>
      <w:r w:rsidRPr="00C7331E">
        <w:rPr>
          <w:lang w:val="es-CO"/>
        </w:rPr>
        <w:t xml:space="preserve">El problema al </w:t>
      </w:r>
      <w:r>
        <w:rPr>
          <w:lang w:val="es-CO"/>
        </w:rPr>
        <w:t>cual</w:t>
      </w:r>
      <w:r w:rsidRPr="00C7331E">
        <w:rPr>
          <w:lang w:val="es-CO"/>
        </w:rPr>
        <w:t xml:space="preserve"> se enfrenta la Nación está altamente concentrado en algunos sectores y en algunos asuntos. Así, los diez (10) sectores con mayor número de procesos activos concentran el 89.5% del total de procesos en calidad de demandado (Tabla 2). </w:t>
      </w:r>
    </w:p>
    <w:p w14:paraId="5BBA255E" w14:textId="77777777" w:rsidR="003B41C3" w:rsidRDefault="003B41C3" w:rsidP="003B41C3">
      <w:pPr>
        <w:ind w:right="-283"/>
        <w:jc w:val="both"/>
        <w:rPr>
          <w:lang w:val="es-CO"/>
        </w:rPr>
      </w:pPr>
      <w:r w:rsidRPr="00C7331E">
        <w:rPr>
          <w:lang w:val="es-CO"/>
        </w:rPr>
        <w:t xml:space="preserve">Bajo este análisis, el sector Trabajo enfrenta una situación crítica teniendo en cuenta que no solo es el sector con mayor concentración de procesos activos (110.584 procesos activos – 40.4% del total de procesos), sino que también es el sector con mayor número de procesos radicados en lo corrido de 2013 -10.442 procesos del sector </w:t>
      </w:r>
      <w:r>
        <w:rPr>
          <w:lang w:val="es-CO"/>
        </w:rPr>
        <w:t>T</w:t>
      </w:r>
      <w:r w:rsidRPr="00C7331E">
        <w:rPr>
          <w:lang w:val="es-CO"/>
        </w:rPr>
        <w:t xml:space="preserve">rabajo radicados entre enero y septiembre de 2013, que representan el 26.7% del total de procesos radicados en este año-. Solo en septiembre fueron radicados 2.911 procesos del sector Trabajo que representan el 37.4% del total de procesos que ingresaron al sistema en este mes. </w:t>
      </w:r>
    </w:p>
    <w:p w14:paraId="0F386D94" w14:textId="77777777" w:rsidR="003B41C3" w:rsidRPr="00C7331E" w:rsidRDefault="003B41C3" w:rsidP="003B41C3">
      <w:pPr>
        <w:ind w:right="-283"/>
        <w:jc w:val="both"/>
        <w:rPr>
          <w:lang w:val="es-CO"/>
        </w:rPr>
      </w:pPr>
      <w:r w:rsidRPr="00C7331E">
        <w:rPr>
          <w:lang w:val="es-CO"/>
        </w:rPr>
        <w:t xml:space="preserve">La problemática del sector Trabajo se origina en entidades como el Instituto de Seguros Sociales en Liquidación (entidad con mayor número de procesos activos [99.499]) y  la Administradora Colombiana de Pensiones Colpensiones (entidad con mayor número de procesos radicados en lo corrido del año [9.052] y entidad más demanda durante el mes de septiembre [2.723]). </w:t>
      </w:r>
    </w:p>
    <w:p w14:paraId="02D085DC" w14:textId="77777777" w:rsidR="003B41C3" w:rsidRDefault="003B41C3" w:rsidP="003B41C3">
      <w:pPr>
        <w:ind w:right="-283"/>
        <w:jc w:val="both"/>
        <w:rPr>
          <w:b/>
          <w:sz w:val="22"/>
          <w:lang w:val="es-CO"/>
        </w:rPr>
      </w:pPr>
      <w:r w:rsidRPr="00C7331E">
        <w:rPr>
          <w:lang w:val="es-CO"/>
        </w:rPr>
        <w:lastRenderedPageBreak/>
        <w:t xml:space="preserve">Sigue el sector de Defensa Nacional que sumado con el sector de Trabajo reúnen más de la mitad de los procesos. </w:t>
      </w:r>
    </w:p>
    <w:p w14:paraId="14ABFA27" w14:textId="77777777" w:rsidR="003B41C3" w:rsidRDefault="003B41C3" w:rsidP="003B41C3">
      <w:pPr>
        <w:jc w:val="center"/>
        <w:rPr>
          <w:b/>
          <w:sz w:val="20"/>
          <w:szCs w:val="20"/>
          <w:lang w:val="es-CO"/>
        </w:rPr>
      </w:pPr>
      <w:r>
        <w:rPr>
          <w:b/>
          <w:sz w:val="20"/>
          <w:szCs w:val="20"/>
          <w:lang w:val="es-CO"/>
        </w:rPr>
        <w:t xml:space="preserve"> </w:t>
      </w:r>
    </w:p>
    <w:p w14:paraId="24A86A9C" w14:textId="77777777" w:rsidR="003B41C3" w:rsidRPr="00496BBC" w:rsidRDefault="003B41C3" w:rsidP="003B41C3">
      <w:pPr>
        <w:jc w:val="center"/>
        <w:rPr>
          <w:b/>
          <w:sz w:val="20"/>
          <w:szCs w:val="20"/>
          <w:lang w:val="es-CO"/>
        </w:rPr>
      </w:pPr>
      <w:r w:rsidRPr="00496BBC">
        <w:rPr>
          <w:b/>
          <w:sz w:val="20"/>
          <w:szCs w:val="20"/>
          <w:lang w:val="es-CO"/>
        </w:rPr>
        <w:t>Tabla 2. Número de procesos activos en contra de la Nación</w:t>
      </w:r>
    </w:p>
    <w:tbl>
      <w:tblPr>
        <w:tblW w:w="7797" w:type="dxa"/>
        <w:jc w:val="center"/>
        <w:tblBorders>
          <w:bottom w:val="single" w:sz="4" w:space="0" w:color="auto"/>
        </w:tblBorders>
        <w:tblCellMar>
          <w:left w:w="0" w:type="dxa"/>
          <w:right w:w="0" w:type="dxa"/>
        </w:tblCellMar>
        <w:tblLook w:val="0600" w:firstRow="0" w:lastRow="0" w:firstColumn="0" w:lastColumn="0" w:noHBand="1" w:noVBand="1"/>
      </w:tblPr>
      <w:tblGrid>
        <w:gridCol w:w="360"/>
        <w:gridCol w:w="3609"/>
        <w:gridCol w:w="1541"/>
        <w:gridCol w:w="2287"/>
      </w:tblGrid>
      <w:tr w:rsidR="003B41C3" w:rsidRPr="00C7331E" w14:paraId="4B69B9BF" w14:textId="77777777" w:rsidTr="003B41C3">
        <w:trPr>
          <w:trHeight w:val="170"/>
          <w:jc w:val="center"/>
        </w:trPr>
        <w:tc>
          <w:tcPr>
            <w:tcW w:w="360" w:type="dxa"/>
            <w:shd w:val="clear" w:color="auto" w:fill="548DD4" w:themeFill="text2" w:themeFillTint="99"/>
            <w:tcMar>
              <w:top w:w="10" w:type="dxa"/>
              <w:left w:w="10" w:type="dxa"/>
              <w:bottom w:w="0" w:type="dxa"/>
              <w:right w:w="10" w:type="dxa"/>
            </w:tcMar>
            <w:vAlign w:val="center"/>
            <w:hideMark/>
          </w:tcPr>
          <w:p w14:paraId="6C0EB53E"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b/>
                <w:bCs/>
                <w:color w:val="FFFFFF"/>
                <w:kern w:val="24"/>
                <w:sz w:val="20"/>
                <w:szCs w:val="20"/>
                <w:lang w:val="es-CO" w:eastAsia="es-CO"/>
              </w:rPr>
              <w:t>No.</w:t>
            </w:r>
          </w:p>
        </w:tc>
        <w:tc>
          <w:tcPr>
            <w:tcW w:w="3609" w:type="dxa"/>
            <w:shd w:val="clear" w:color="auto" w:fill="548DD4" w:themeFill="text2" w:themeFillTint="99"/>
            <w:tcMar>
              <w:top w:w="10" w:type="dxa"/>
              <w:left w:w="10" w:type="dxa"/>
              <w:bottom w:w="0" w:type="dxa"/>
              <w:right w:w="10" w:type="dxa"/>
            </w:tcMar>
            <w:vAlign w:val="center"/>
            <w:hideMark/>
          </w:tcPr>
          <w:p w14:paraId="0B4BEBCF" w14:textId="77777777" w:rsidR="003B41C3" w:rsidRPr="00496BBC" w:rsidRDefault="003B41C3" w:rsidP="003B41C3">
            <w:pPr>
              <w:spacing w:after="0"/>
              <w:textAlignment w:val="center"/>
              <w:rPr>
                <w:rFonts w:eastAsia="Times New Roman" w:cs="Arial"/>
                <w:sz w:val="20"/>
                <w:szCs w:val="20"/>
                <w:lang w:val="es-CO" w:eastAsia="es-CO"/>
              </w:rPr>
            </w:pPr>
            <w:r w:rsidRPr="00496BBC">
              <w:rPr>
                <w:rFonts w:eastAsia="Times New Roman" w:cs="Arial"/>
                <w:b/>
                <w:bCs/>
                <w:color w:val="FFFFFF"/>
                <w:kern w:val="24"/>
                <w:sz w:val="20"/>
                <w:szCs w:val="20"/>
                <w:lang w:val="es-CO" w:eastAsia="es-CO"/>
              </w:rPr>
              <w:t>Sector Demandado</w:t>
            </w:r>
          </w:p>
        </w:tc>
        <w:tc>
          <w:tcPr>
            <w:tcW w:w="1541" w:type="dxa"/>
            <w:shd w:val="clear" w:color="auto" w:fill="548DD4" w:themeFill="text2" w:themeFillTint="99"/>
            <w:tcMar>
              <w:top w:w="10" w:type="dxa"/>
              <w:left w:w="10" w:type="dxa"/>
              <w:bottom w:w="0" w:type="dxa"/>
              <w:right w:w="10" w:type="dxa"/>
            </w:tcMar>
            <w:hideMark/>
          </w:tcPr>
          <w:p w14:paraId="7AA22768" w14:textId="77777777" w:rsidR="003B41C3" w:rsidRPr="00496BBC" w:rsidRDefault="003B41C3" w:rsidP="003B41C3">
            <w:pPr>
              <w:spacing w:after="0"/>
              <w:jc w:val="center"/>
              <w:textAlignment w:val="top"/>
              <w:rPr>
                <w:rFonts w:eastAsia="Times New Roman" w:cs="Arial"/>
                <w:sz w:val="20"/>
                <w:szCs w:val="20"/>
                <w:lang w:val="es-CO" w:eastAsia="es-CO"/>
              </w:rPr>
            </w:pPr>
            <w:r w:rsidRPr="00496BBC">
              <w:rPr>
                <w:rFonts w:eastAsia="Times New Roman" w:cs="Arial"/>
                <w:b/>
                <w:bCs/>
                <w:color w:val="FFFFFF"/>
                <w:kern w:val="24"/>
                <w:sz w:val="20"/>
                <w:szCs w:val="20"/>
                <w:lang w:val="es-CO" w:eastAsia="es-CO"/>
              </w:rPr>
              <w:t>No. Procesos a Septiembre</w:t>
            </w:r>
            <w:r w:rsidRPr="00496BBC">
              <w:rPr>
                <w:rFonts w:eastAsia="Times New Roman" w:cs="Arial"/>
                <w:b/>
                <w:bCs/>
                <w:color w:val="FFFFFF"/>
                <w:kern w:val="24"/>
                <w:sz w:val="20"/>
                <w:szCs w:val="20"/>
                <w:lang w:val="pt-BR" w:eastAsia="es-CO"/>
              </w:rPr>
              <w:t xml:space="preserve"> 30</w:t>
            </w:r>
          </w:p>
        </w:tc>
        <w:tc>
          <w:tcPr>
            <w:tcW w:w="2287" w:type="dxa"/>
            <w:shd w:val="clear" w:color="auto" w:fill="548DD4" w:themeFill="text2" w:themeFillTint="99"/>
            <w:vAlign w:val="center"/>
          </w:tcPr>
          <w:p w14:paraId="39CEBE5D" w14:textId="77777777" w:rsidR="003B41C3" w:rsidRPr="00496BBC" w:rsidRDefault="003B41C3" w:rsidP="003B41C3">
            <w:pPr>
              <w:spacing w:after="0"/>
              <w:jc w:val="center"/>
              <w:textAlignment w:val="top"/>
              <w:rPr>
                <w:rFonts w:eastAsia="Times New Roman" w:cs="Arial"/>
                <w:b/>
                <w:bCs/>
                <w:color w:val="FFFFFF"/>
                <w:kern w:val="24"/>
                <w:sz w:val="20"/>
                <w:szCs w:val="20"/>
                <w:lang w:val="es-CO" w:eastAsia="es-CO"/>
              </w:rPr>
            </w:pPr>
            <w:r w:rsidRPr="00496BBC">
              <w:rPr>
                <w:rFonts w:eastAsia="Times New Roman" w:cs="Arial"/>
                <w:b/>
                <w:bCs/>
                <w:color w:val="FFFFFF"/>
                <w:kern w:val="24"/>
                <w:sz w:val="20"/>
                <w:szCs w:val="20"/>
                <w:lang w:val="es-CO" w:eastAsia="es-CO"/>
              </w:rPr>
              <w:t>Participación</w:t>
            </w:r>
          </w:p>
        </w:tc>
      </w:tr>
      <w:tr w:rsidR="003B41C3" w:rsidRPr="00C7331E" w14:paraId="0CE65B74" w14:textId="77777777" w:rsidTr="003B41C3">
        <w:trPr>
          <w:trHeight w:val="170"/>
          <w:jc w:val="center"/>
        </w:trPr>
        <w:tc>
          <w:tcPr>
            <w:tcW w:w="360" w:type="dxa"/>
            <w:shd w:val="clear" w:color="auto" w:fill="auto"/>
            <w:tcMar>
              <w:top w:w="10" w:type="dxa"/>
              <w:left w:w="10" w:type="dxa"/>
              <w:bottom w:w="0" w:type="dxa"/>
              <w:right w:w="10" w:type="dxa"/>
            </w:tcMar>
            <w:vAlign w:val="center"/>
            <w:hideMark/>
          </w:tcPr>
          <w:p w14:paraId="3207A490"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color w:val="000000"/>
                <w:kern w:val="24"/>
                <w:sz w:val="20"/>
                <w:szCs w:val="20"/>
                <w:lang w:val="es-CO" w:eastAsia="es-CO"/>
              </w:rPr>
              <w:t>1</w:t>
            </w:r>
          </w:p>
        </w:tc>
        <w:tc>
          <w:tcPr>
            <w:tcW w:w="3609" w:type="dxa"/>
            <w:tcBorders>
              <w:bottom w:val="nil"/>
            </w:tcBorders>
            <w:shd w:val="clear" w:color="auto" w:fill="548DD4" w:themeFill="text2" w:themeFillTint="99"/>
            <w:tcMar>
              <w:top w:w="15" w:type="dxa"/>
              <w:left w:w="15" w:type="dxa"/>
              <w:bottom w:w="0" w:type="dxa"/>
              <w:right w:w="15" w:type="dxa"/>
            </w:tcMar>
            <w:vAlign w:val="center"/>
            <w:hideMark/>
          </w:tcPr>
          <w:p w14:paraId="6A40E96C" w14:textId="77777777" w:rsidR="003B41C3" w:rsidRPr="00496BBC" w:rsidRDefault="003B41C3" w:rsidP="003B41C3">
            <w:pPr>
              <w:spacing w:after="0"/>
              <w:textAlignment w:val="bottom"/>
              <w:rPr>
                <w:rFonts w:eastAsia="Times New Roman" w:cs="Arial"/>
                <w:sz w:val="20"/>
                <w:szCs w:val="20"/>
                <w:lang w:val="es-CO" w:eastAsia="es-CO"/>
              </w:rPr>
            </w:pPr>
            <w:r w:rsidRPr="00496BBC">
              <w:rPr>
                <w:rFonts w:eastAsia="Times New Roman" w:cs="Arial"/>
                <w:color w:val="FFFFFF" w:themeColor="background1"/>
                <w:kern w:val="24"/>
                <w:sz w:val="20"/>
                <w:szCs w:val="20"/>
                <w:lang w:val="es-CO" w:eastAsia="es-CO"/>
              </w:rPr>
              <w:t>TRABAJO</w:t>
            </w:r>
          </w:p>
        </w:tc>
        <w:tc>
          <w:tcPr>
            <w:tcW w:w="1541" w:type="dxa"/>
            <w:tcBorders>
              <w:bottom w:val="dashSmallGap" w:sz="4" w:space="0" w:color="auto"/>
            </w:tcBorders>
            <w:shd w:val="clear" w:color="auto" w:fill="auto"/>
            <w:tcMar>
              <w:top w:w="15" w:type="dxa"/>
              <w:left w:w="15" w:type="dxa"/>
              <w:bottom w:w="0" w:type="dxa"/>
              <w:right w:w="15" w:type="dxa"/>
            </w:tcMar>
            <w:vAlign w:val="center"/>
            <w:hideMark/>
          </w:tcPr>
          <w:p w14:paraId="5747CE84" w14:textId="77777777" w:rsidR="003B41C3" w:rsidRPr="00496BBC" w:rsidRDefault="003B41C3" w:rsidP="003B41C3">
            <w:pPr>
              <w:spacing w:after="0"/>
              <w:jc w:val="center"/>
              <w:textAlignment w:val="bottom"/>
              <w:rPr>
                <w:rFonts w:eastAsia="Times New Roman" w:cs="Arial"/>
                <w:sz w:val="20"/>
                <w:szCs w:val="20"/>
                <w:lang w:val="es-CO" w:eastAsia="es-CO"/>
              </w:rPr>
            </w:pPr>
            <w:r w:rsidRPr="00496BBC">
              <w:rPr>
                <w:rFonts w:eastAsia="Times New Roman" w:cs="Arial"/>
                <w:color w:val="000000"/>
                <w:kern w:val="24"/>
                <w:sz w:val="20"/>
                <w:szCs w:val="20"/>
                <w:lang w:val="es-CO" w:eastAsia="es-CO"/>
              </w:rPr>
              <w:t>110.584</w:t>
            </w:r>
          </w:p>
        </w:tc>
        <w:tc>
          <w:tcPr>
            <w:tcW w:w="2287" w:type="dxa"/>
            <w:tcBorders>
              <w:bottom w:val="dashSmallGap" w:sz="4" w:space="0" w:color="auto"/>
            </w:tcBorders>
            <w:vAlign w:val="center"/>
          </w:tcPr>
          <w:p w14:paraId="78CA8893" w14:textId="77777777" w:rsidR="003B41C3" w:rsidRPr="00496BBC" w:rsidRDefault="003B41C3" w:rsidP="003B41C3">
            <w:pPr>
              <w:spacing w:after="0"/>
              <w:jc w:val="center"/>
              <w:textAlignment w:val="bottom"/>
              <w:rPr>
                <w:rFonts w:eastAsia="Times New Roman" w:cs="Arial"/>
                <w:color w:val="000000"/>
                <w:kern w:val="24"/>
                <w:sz w:val="20"/>
                <w:szCs w:val="20"/>
                <w:lang w:val="es-CO" w:eastAsia="es-CO"/>
              </w:rPr>
            </w:pPr>
            <w:r w:rsidRPr="00496BBC">
              <w:rPr>
                <w:rFonts w:eastAsia="Times New Roman" w:cs="Arial"/>
                <w:color w:val="000000"/>
                <w:kern w:val="24"/>
                <w:sz w:val="20"/>
                <w:szCs w:val="20"/>
                <w:lang w:val="es-CO" w:eastAsia="es-CO"/>
              </w:rPr>
              <w:t>37.8%</w:t>
            </w:r>
          </w:p>
        </w:tc>
      </w:tr>
      <w:tr w:rsidR="003B41C3" w:rsidRPr="00C7331E" w14:paraId="155B6732" w14:textId="77777777" w:rsidTr="003B41C3">
        <w:trPr>
          <w:trHeight w:val="170"/>
          <w:jc w:val="center"/>
        </w:trPr>
        <w:tc>
          <w:tcPr>
            <w:tcW w:w="360" w:type="dxa"/>
            <w:shd w:val="clear" w:color="auto" w:fill="auto"/>
            <w:tcMar>
              <w:top w:w="10" w:type="dxa"/>
              <w:left w:w="10" w:type="dxa"/>
              <w:bottom w:w="0" w:type="dxa"/>
              <w:right w:w="10" w:type="dxa"/>
            </w:tcMar>
            <w:vAlign w:val="center"/>
            <w:hideMark/>
          </w:tcPr>
          <w:p w14:paraId="7C4F21EA"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color w:val="000000"/>
                <w:kern w:val="24"/>
                <w:sz w:val="20"/>
                <w:szCs w:val="20"/>
                <w:lang w:val="es-CO" w:eastAsia="es-CO"/>
              </w:rPr>
              <w:t>2</w:t>
            </w:r>
          </w:p>
        </w:tc>
        <w:tc>
          <w:tcPr>
            <w:tcW w:w="3609" w:type="dxa"/>
            <w:tcBorders>
              <w:top w:val="nil"/>
              <w:bottom w:val="nil"/>
            </w:tcBorders>
            <w:shd w:val="clear" w:color="auto" w:fill="548DD4" w:themeFill="text2" w:themeFillTint="99"/>
            <w:tcMar>
              <w:top w:w="15" w:type="dxa"/>
              <w:left w:w="15" w:type="dxa"/>
              <w:bottom w:w="0" w:type="dxa"/>
              <w:right w:w="15" w:type="dxa"/>
            </w:tcMar>
            <w:vAlign w:val="center"/>
            <w:hideMark/>
          </w:tcPr>
          <w:p w14:paraId="02D517BB" w14:textId="77777777" w:rsidR="003B41C3" w:rsidRPr="00496BBC" w:rsidRDefault="003B41C3" w:rsidP="003B41C3">
            <w:pPr>
              <w:spacing w:after="0"/>
              <w:textAlignment w:val="bottom"/>
              <w:rPr>
                <w:rFonts w:eastAsia="Times New Roman" w:cs="Arial"/>
                <w:sz w:val="20"/>
                <w:szCs w:val="20"/>
                <w:lang w:val="es-CO" w:eastAsia="es-CO"/>
              </w:rPr>
            </w:pPr>
            <w:r w:rsidRPr="00496BBC">
              <w:rPr>
                <w:rFonts w:eastAsia="Times New Roman" w:cs="Arial"/>
                <w:color w:val="FFFFFF" w:themeColor="background1"/>
                <w:kern w:val="24"/>
                <w:sz w:val="20"/>
                <w:szCs w:val="20"/>
                <w:lang w:val="es-CO" w:eastAsia="es-CO"/>
              </w:rPr>
              <w:t>DEFENSA NACIONAL</w:t>
            </w:r>
          </w:p>
        </w:tc>
        <w:tc>
          <w:tcPr>
            <w:tcW w:w="1541" w:type="dxa"/>
            <w:tcBorders>
              <w:top w:val="dashSmallGap" w:sz="4" w:space="0" w:color="auto"/>
              <w:bottom w:val="dashSmallGap" w:sz="4" w:space="0" w:color="auto"/>
            </w:tcBorders>
            <w:shd w:val="clear" w:color="auto" w:fill="auto"/>
            <w:tcMar>
              <w:top w:w="15" w:type="dxa"/>
              <w:left w:w="15" w:type="dxa"/>
              <w:bottom w:w="0" w:type="dxa"/>
              <w:right w:w="15" w:type="dxa"/>
            </w:tcMar>
            <w:vAlign w:val="center"/>
            <w:hideMark/>
          </w:tcPr>
          <w:p w14:paraId="43FC0F04" w14:textId="77777777" w:rsidR="003B41C3" w:rsidRPr="00496BBC" w:rsidRDefault="003B41C3" w:rsidP="003B41C3">
            <w:pPr>
              <w:spacing w:after="0"/>
              <w:jc w:val="center"/>
              <w:textAlignment w:val="bottom"/>
              <w:rPr>
                <w:rFonts w:eastAsia="Times New Roman" w:cs="Arial"/>
                <w:sz w:val="20"/>
                <w:szCs w:val="20"/>
                <w:lang w:val="es-CO" w:eastAsia="es-CO"/>
              </w:rPr>
            </w:pPr>
            <w:r w:rsidRPr="00496BBC">
              <w:rPr>
                <w:rFonts w:eastAsia="Times New Roman" w:cs="Arial"/>
                <w:color w:val="000000"/>
                <w:kern w:val="24"/>
                <w:sz w:val="20"/>
                <w:szCs w:val="20"/>
                <w:lang w:val="es-CO" w:eastAsia="es-CO"/>
              </w:rPr>
              <w:t>61.491</w:t>
            </w:r>
          </w:p>
        </w:tc>
        <w:tc>
          <w:tcPr>
            <w:tcW w:w="2287" w:type="dxa"/>
            <w:tcBorders>
              <w:top w:val="dashSmallGap" w:sz="4" w:space="0" w:color="auto"/>
              <w:bottom w:val="dashSmallGap" w:sz="4" w:space="0" w:color="auto"/>
            </w:tcBorders>
            <w:vAlign w:val="center"/>
          </w:tcPr>
          <w:p w14:paraId="37D8DB22" w14:textId="77777777" w:rsidR="003B41C3" w:rsidRPr="00496BBC" w:rsidRDefault="003B41C3" w:rsidP="003B41C3">
            <w:pPr>
              <w:spacing w:after="0"/>
              <w:jc w:val="center"/>
              <w:textAlignment w:val="bottom"/>
              <w:rPr>
                <w:rFonts w:eastAsia="Times New Roman" w:cs="Arial"/>
                <w:color w:val="000000"/>
                <w:kern w:val="24"/>
                <w:sz w:val="20"/>
                <w:szCs w:val="20"/>
                <w:lang w:val="es-CO" w:eastAsia="es-CO"/>
              </w:rPr>
            </w:pPr>
            <w:r w:rsidRPr="00496BBC">
              <w:rPr>
                <w:rFonts w:eastAsia="Times New Roman" w:cs="Arial"/>
                <w:color w:val="000000"/>
                <w:kern w:val="24"/>
                <w:sz w:val="20"/>
                <w:szCs w:val="20"/>
                <w:lang w:val="es-CO" w:eastAsia="es-CO"/>
              </w:rPr>
              <w:t>21.0%</w:t>
            </w:r>
          </w:p>
        </w:tc>
      </w:tr>
      <w:tr w:rsidR="003B41C3" w:rsidRPr="00C7331E" w14:paraId="5030AE9D" w14:textId="77777777" w:rsidTr="003B41C3">
        <w:trPr>
          <w:trHeight w:val="170"/>
          <w:jc w:val="center"/>
        </w:trPr>
        <w:tc>
          <w:tcPr>
            <w:tcW w:w="360" w:type="dxa"/>
            <w:shd w:val="clear" w:color="auto" w:fill="auto"/>
            <w:tcMar>
              <w:top w:w="10" w:type="dxa"/>
              <w:left w:w="10" w:type="dxa"/>
              <w:bottom w:w="0" w:type="dxa"/>
              <w:right w:w="10" w:type="dxa"/>
            </w:tcMar>
            <w:vAlign w:val="center"/>
            <w:hideMark/>
          </w:tcPr>
          <w:p w14:paraId="6E929359"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color w:val="000000"/>
                <w:kern w:val="24"/>
                <w:sz w:val="20"/>
                <w:szCs w:val="20"/>
                <w:lang w:val="es-CO" w:eastAsia="es-CO"/>
              </w:rPr>
              <w:t>3</w:t>
            </w:r>
          </w:p>
        </w:tc>
        <w:tc>
          <w:tcPr>
            <w:tcW w:w="3609" w:type="dxa"/>
            <w:tcBorders>
              <w:top w:val="nil"/>
              <w:bottom w:val="nil"/>
            </w:tcBorders>
            <w:shd w:val="clear" w:color="auto" w:fill="548DD4" w:themeFill="text2" w:themeFillTint="99"/>
            <w:tcMar>
              <w:top w:w="15" w:type="dxa"/>
              <w:left w:w="15" w:type="dxa"/>
              <w:bottom w:w="0" w:type="dxa"/>
              <w:right w:w="15" w:type="dxa"/>
            </w:tcMar>
            <w:vAlign w:val="center"/>
            <w:hideMark/>
          </w:tcPr>
          <w:p w14:paraId="082BA14A" w14:textId="77777777" w:rsidR="003B41C3" w:rsidRPr="00496BBC" w:rsidRDefault="003B41C3" w:rsidP="003B41C3">
            <w:pPr>
              <w:spacing w:after="0"/>
              <w:textAlignment w:val="bottom"/>
              <w:rPr>
                <w:rFonts w:eastAsia="Times New Roman" w:cs="Arial"/>
                <w:sz w:val="20"/>
                <w:szCs w:val="20"/>
                <w:lang w:val="es-CO" w:eastAsia="es-CO"/>
              </w:rPr>
            </w:pPr>
            <w:r w:rsidRPr="00496BBC">
              <w:rPr>
                <w:rFonts w:eastAsia="Times New Roman" w:cs="Arial"/>
                <w:color w:val="FFFFFF" w:themeColor="background1"/>
                <w:kern w:val="24"/>
                <w:sz w:val="20"/>
                <w:szCs w:val="20"/>
                <w:lang w:val="es-CO" w:eastAsia="es-CO"/>
              </w:rPr>
              <w:t>SA</w:t>
            </w:r>
            <w:r w:rsidRPr="00496BBC">
              <w:rPr>
                <w:rFonts w:eastAsia="Times New Roman" w:cs="Arial"/>
                <w:color w:val="FFFFFF" w:themeColor="background1"/>
                <w:kern w:val="24"/>
                <w:sz w:val="20"/>
                <w:szCs w:val="20"/>
                <w:lang w:val="en-US" w:eastAsia="es-CO"/>
              </w:rPr>
              <w:t>LUD Y PROTECCIÓN SOCIAL</w:t>
            </w:r>
          </w:p>
        </w:tc>
        <w:tc>
          <w:tcPr>
            <w:tcW w:w="1541" w:type="dxa"/>
            <w:tcBorders>
              <w:top w:val="dashSmallGap" w:sz="4" w:space="0" w:color="auto"/>
              <w:bottom w:val="dashSmallGap" w:sz="4" w:space="0" w:color="auto"/>
            </w:tcBorders>
            <w:shd w:val="clear" w:color="auto" w:fill="auto"/>
            <w:tcMar>
              <w:top w:w="15" w:type="dxa"/>
              <w:left w:w="15" w:type="dxa"/>
              <w:bottom w:w="0" w:type="dxa"/>
              <w:right w:w="15" w:type="dxa"/>
            </w:tcMar>
            <w:vAlign w:val="center"/>
            <w:hideMark/>
          </w:tcPr>
          <w:p w14:paraId="0CD7535A" w14:textId="77777777" w:rsidR="003B41C3" w:rsidRPr="00496BBC" w:rsidRDefault="003B41C3" w:rsidP="003B41C3">
            <w:pPr>
              <w:spacing w:after="0"/>
              <w:jc w:val="center"/>
              <w:textAlignment w:val="bottom"/>
              <w:rPr>
                <w:rFonts w:eastAsia="Times New Roman" w:cs="Arial"/>
                <w:sz w:val="20"/>
                <w:szCs w:val="20"/>
                <w:lang w:val="es-CO" w:eastAsia="es-CO"/>
              </w:rPr>
            </w:pPr>
            <w:r w:rsidRPr="00496BBC">
              <w:rPr>
                <w:rFonts w:eastAsia="Times New Roman" w:cs="Arial"/>
                <w:color w:val="000000"/>
                <w:kern w:val="24"/>
                <w:sz w:val="20"/>
                <w:szCs w:val="20"/>
                <w:lang w:val="en-US" w:eastAsia="es-CO"/>
              </w:rPr>
              <w:t>22.070</w:t>
            </w:r>
          </w:p>
        </w:tc>
        <w:tc>
          <w:tcPr>
            <w:tcW w:w="2287" w:type="dxa"/>
            <w:tcBorders>
              <w:top w:val="dashSmallGap" w:sz="4" w:space="0" w:color="auto"/>
              <w:bottom w:val="dashSmallGap" w:sz="4" w:space="0" w:color="auto"/>
            </w:tcBorders>
            <w:vAlign w:val="center"/>
          </w:tcPr>
          <w:p w14:paraId="3BA55167" w14:textId="77777777" w:rsidR="003B41C3" w:rsidRPr="00496BBC" w:rsidRDefault="003B41C3" w:rsidP="003B41C3">
            <w:pPr>
              <w:spacing w:after="0"/>
              <w:jc w:val="center"/>
              <w:textAlignment w:val="bottom"/>
              <w:rPr>
                <w:rFonts w:eastAsia="Times New Roman" w:cs="Arial"/>
                <w:color w:val="000000"/>
                <w:kern w:val="24"/>
                <w:sz w:val="20"/>
                <w:szCs w:val="20"/>
                <w:lang w:val="en-US" w:eastAsia="es-CO"/>
              </w:rPr>
            </w:pPr>
            <w:r w:rsidRPr="00496BBC">
              <w:rPr>
                <w:rFonts w:eastAsia="Times New Roman" w:cs="Arial"/>
                <w:color w:val="000000"/>
                <w:kern w:val="24"/>
                <w:sz w:val="20"/>
                <w:szCs w:val="20"/>
                <w:lang w:val="en-US" w:eastAsia="es-CO"/>
              </w:rPr>
              <w:t>7.5%</w:t>
            </w:r>
          </w:p>
        </w:tc>
      </w:tr>
      <w:tr w:rsidR="003B41C3" w:rsidRPr="00C7331E" w14:paraId="18B0E9B1" w14:textId="77777777" w:rsidTr="003B41C3">
        <w:trPr>
          <w:trHeight w:val="170"/>
          <w:jc w:val="center"/>
        </w:trPr>
        <w:tc>
          <w:tcPr>
            <w:tcW w:w="360" w:type="dxa"/>
            <w:shd w:val="clear" w:color="auto" w:fill="auto"/>
            <w:tcMar>
              <w:top w:w="10" w:type="dxa"/>
              <w:left w:w="10" w:type="dxa"/>
              <w:bottom w:w="0" w:type="dxa"/>
              <w:right w:w="10" w:type="dxa"/>
            </w:tcMar>
            <w:vAlign w:val="center"/>
            <w:hideMark/>
          </w:tcPr>
          <w:p w14:paraId="76A7A0D6"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color w:val="000000"/>
                <w:kern w:val="24"/>
                <w:sz w:val="20"/>
                <w:szCs w:val="20"/>
                <w:lang w:val="es-CO" w:eastAsia="es-CO"/>
              </w:rPr>
              <w:t>4</w:t>
            </w:r>
          </w:p>
        </w:tc>
        <w:tc>
          <w:tcPr>
            <w:tcW w:w="3609" w:type="dxa"/>
            <w:tcBorders>
              <w:top w:val="nil"/>
              <w:bottom w:val="nil"/>
            </w:tcBorders>
            <w:shd w:val="clear" w:color="auto" w:fill="548DD4" w:themeFill="text2" w:themeFillTint="99"/>
            <w:tcMar>
              <w:top w:w="15" w:type="dxa"/>
              <w:left w:w="15" w:type="dxa"/>
              <w:bottom w:w="0" w:type="dxa"/>
              <w:right w:w="15" w:type="dxa"/>
            </w:tcMar>
            <w:vAlign w:val="center"/>
            <w:hideMark/>
          </w:tcPr>
          <w:p w14:paraId="17D22FD9" w14:textId="77777777" w:rsidR="003B41C3" w:rsidRPr="00496BBC" w:rsidRDefault="003B41C3" w:rsidP="003B41C3">
            <w:pPr>
              <w:spacing w:after="0"/>
              <w:textAlignment w:val="bottom"/>
              <w:rPr>
                <w:rFonts w:eastAsia="Times New Roman" w:cs="Arial"/>
                <w:sz w:val="20"/>
                <w:szCs w:val="20"/>
                <w:lang w:val="es-CO" w:eastAsia="es-CO"/>
              </w:rPr>
            </w:pPr>
            <w:r w:rsidRPr="00496BBC">
              <w:rPr>
                <w:rFonts w:eastAsia="Times New Roman" w:cs="Arial"/>
                <w:color w:val="FFFFFF" w:themeColor="background1"/>
                <w:kern w:val="24"/>
                <w:sz w:val="20"/>
                <w:szCs w:val="20"/>
                <w:lang w:val="en-US" w:eastAsia="es-CO"/>
              </w:rPr>
              <w:t>EDUCACION NACIONAL</w:t>
            </w:r>
          </w:p>
        </w:tc>
        <w:tc>
          <w:tcPr>
            <w:tcW w:w="1541" w:type="dxa"/>
            <w:tcBorders>
              <w:top w:val="dashSmallGap" w:sz="4" w:space="0" w:color="auto"/>
              <w:bottom w:val="dashSmallGap" w:sz="4" w:space="0" w:color="auto"/>
            </w:tcBorders>
            <w:shd w:val="clear" w:color="auto" w:fill="auto"/>
            <w:tcMar>
              <w:top w:w="15" w:type="dxa"/>
              <w:left w:w="15" w:type="dxa"/>
              <w:bottom w:w="0" w:type="dxa"/>
              <w:right w:w="15" w:type="dxa"/>
            </w:tcMar>
            <w:vAlign w:val="center"/>
            <w:hideMark/>
          </w:tcPr>
          <w:p w14:paraId="75826647" w14:textId="77777777" w:rsidR="003B41C3" w:rsidRPr="00496BBC" w:rsidRDefault="003B41C3" w:rsidP="003B41C3">
            <w:pPr>
              <w:spacing w:after="0"/>
              <w:jc w:val="center"/>
              <w:textAlignment w:val="bottom"/>
              <w:rPr>
                <w:rFonts w:eastAsia="Times New Roman" w:cs="Arial"/>
                <w:sz w:val="20"/>
                <w:szCs w:val="20"/>
                <w:lang w:val="es-CO" w:eastAsia="es-CO"/>
              </w:rPr>
            </w:pPr>
            <w:r w:rsidRPr="00496BBC">
              <w:rPr>
                <w:rFonts w:eastAsia="Times New Roman" w:cs="Arial"/>
                <w:color w:val="000000"/>
                <w:kern w:val="24"/>
                <w:sz w:val="20"/>
                <w:szCs w:val="20"/>
                <w:lang w:val="en-US" w:eastAsia="es-CO"/>
              </w:rPr>
              <w:t>19.528</w:t>
            </w:r>
          </w:p>
        </w:tc>
        <w:tc>
          <w:tcPr>
            <w:tcW w:w="2287" w:type="dxa"/>
            <w:tcBorders>
              <w:top w:val="dashSmallGap" w:sz="4" w:space="0" w:color="auto"/>
              <w:bottom w:val="dashSmallGap" w:sz="4" w:space="0" w:color="auto"/>
            </w:tcBorders>
            <w:vAlign w:val="center"/>
          </w:tcPr>
          <w:p w14:paraId="269AB8D1" w14:textId="77777777" w:rsidR="003B41C3" w:rsidRPr="00496BBC" w:rsidRDefault="003B41C3" w:rsidP="003B41C3">
            <w:pPr>
              <w:spacing w:after="0"/>
              <w:jc w:val="center"/>
              <w:textAlignment w:val="bottom"/>
              <w:rPr>
                <w:rFonts w:eastAsia="Times New Roman" w:cs="Arial"/>
                <w:color w:val="000000"/>
                <w:kern w:val="24"/>
                <w:sz w:val="20"/>
                <w:szCs w:val="20"/>
                <w:lang w:val="en-US" w:eastAsia="es-CO"/>
              </w:rPr>
            </w:pPr>
            <w:r w:rsidRPr="00496BBC">
              <w:rPr>
                <w:rFonts w:eastAsia="Times New Roman" w:cs="Arial"/>
                <w:color w:val="000000"/>
                <w:kern w:val="24"/>
                <w:sz w:val="20"/>
                <w:szCs w:val="20"/>
                <w:lang w:val="en-US" w:eastAsia="es-CO"/>
              </w:rPr>
              <w:t>6.7%</w:t>
            </w:r>
          </w:p>
        </w:tc>
      </w:tr>
      <w:tr w:rsidR="003B41C3" w:rsidRPr="00C7331E" w14:paraId="20356E18" w14:textId="77777777" w:rsidTr="003B41C3">
        <w:trPr>
          <w:trHeight w:val="170"/>
          <w:jc w:val="center"/>
        </w:trPr>
        <w:tc>
          <w:tcPr>
            <w:tcW w:w="360" w:type="dxa"/>
            <w:shd w:val="clear" w:color="auto" w:fill="auto"/>
            <w:tcMar>
              <w:top w:w="10" w:type="dxa"/>
              <w:left w:w="10" w:type="dxa"/>
              <w:bottom w:w="0" w:type="dxa"/>
              <w:right w:w="10" w:type="dxa"/>
            </w:tcMar>
            <w:vAlign w:val="center"/>
            <w:hideMark/>
          </w:tcPr>
          <w:p w14:paraId="5601F4E1"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color w:val="000000"/>
                <w:kern w:val="24"/>
                <w:sz w:val="20"/>
                <w:szCs w:val="20"/>
                <w:lang w:val="es-CO" w:eastAsia="es-CO"/>
              </w:rPr>
              <w:t>5</w:t>
            </w:r>
          </w:p>
        </w:tc>
        <w:tc>
          <w:tcPr>
            <w:tcW w:w="3609" w:type="dxa"/>
            <w:tcBorders>
              <w:top w:val="nil"/>
              <w:bottom w:val="nil"/>
            </w:tcBorders>
            <w:shd w:val="clear" w:color="auto" w:fill="548DD4" w:themeFill="text2" w:themeFillTint="99"/>
            <w:tcMar>
              <w:top w:w="15" w:type="dxa"/>
              <w:left w:w="15" w:type="dxa"/>
              <w:bottom w:w="0" w:type="dxa"/>
              <w:right w:w="15" w:type="dxa"/>
            </w:tcMar>
            <w:vAlign w:val="center"/>
            <w:hideMark/>
          </w:tcPr>
          <w:p w14:paraId="241C43D1" w14:textId="77777777" w:rsidR="003B41C3" w:rsidRPr="00496BBC" w:rsidRDefault="003B41C3" w:rsidP="003B41C3">
            <w:pPr>
              <w:spacing w:after="0"/>
              <w:textAlignment w:val="bottom"/>
              <w:rPr>
                <w:rFonts w:eastAsia="Times New Roman" w:cs="Arial"/>
                <w:sz w:val="20"/>
                <w:szCs w:val="20"/>
                <w:lang w:val="es-CO" w:eastAsia="es-CO"/>
              </w:rPr>
            </w:pPr>
            <w:r w:rsidRPr="00496BBC">
              <w:rPr>
                <w:rFonts w:eastAsia="Times New Roman" w:cs="Arial"/>
                <w:color w:val="FFFFFF" w:themeColor="background1"/>
                <w:kern w:val="24"/>
                <w:sz w:val="20"/>
                <w:szCs w:val="20"/>
                <w:lang w:val="en-US" w:eastAsia="es-CO"/>
              </w:rPr>
              <w:t>HACIENDA Y CRÉDITO PÚBLICO</w:t>
            </w:r>
          </w:p>
        </w:tc>
        <w:tc>
          <w:tcPr>
            <w:tcW w:w="1541" w:type="dxa"/>
            <w:tcBorders>
              <w:top w:val="dashSmallGap" w:sz="4" w:space="0" w:color="auto"/>
              <w:bottom w:val="dashSmallGap" w:sz="4" w:space="0" w:color="auto"/>
            </w:tcBorders>
            <w:shd w:val="clear" w:color="auto" w:fill="auto"/>
            <w:tcMar>
              <w:top w:w="15" w:type="dxa"/>
              <w:left w:w="15" w:type="dxa"/>
              <w:bottom w:w="0" w:type="dxa"/>
              <w:right w:w="15" w:type="dxa"/>
            </w:tcMar>
            <w:vAlign w:val="center"/>
            <w:hideMark/>
          </w:tcPr>
          <w:p w14:paraId="6B6267DD" w14:textId="77777777" w:rsidR="003B41C3" w:rsidRPr="00496BBC" w:rsidRDefault="003B41C3" w:rsidP="003B41C3">
            <w:pPr>
              <w:spacing w:after="0"/>
              <w:jc w:val="center"/>
              <w:textAlignment w:val="bottom"/>
              <w:rPr>
                <w:rFonts w:eastAsia="Times New Roman" w:cs="Arial"/>
                <w:sz w:val="20"/>
                <w:szCs w:val="20"/>
                <w:lang w:val="es-CO" w:eastAsia="es-CO"/>
              </w:rPr>
            </w:pPr>
            <w:r w:rsidRPr="00496BBC">
              <w:rPr>
                <w:rFonts w:eastAsia="Times New Roman" w:cs="Arial"/>
                <w:color w:val="000000"/>
                <w:kern w:val="24"/>
                <w:sz w:val="20"/>
                <w:szCs w:val="20"/>
                <w:lang w:val="en-US" w:eastAsia="es-CO"/>
              </w:rPr>
              <w:t>12.199</w:t>
            </w:r>
          </w:p>
        </w:tc>
        <w:tc>
          <w:tcPr>
            <w:tcW w:w="2287" w:type="dxa"/>
            <w:tcBorders>
              <w:top w:val="dashSmallGap" w:sz="4" w:space="0" w:color="auto"/>
              <w:bottom w:val="dashSmallGap" w:sz="4" w:space="0" w:color="auto"/>
            </w:tcBorders>
            <w:vAlign w:val="center"/>
          </w:tcPr>
          <w:p w14:paraId="3937794E" w14:textId="77777777" w:rsidR="003B41C3" w:rsidRPr="00496BBC" w:rsidRDefault="003B41C3" w:rsidP="003B41C3">
            <w:pPr>
              <w:spacing w:after="0"/>
              <w:jc w:val="center"/>
              <w:textAlignment w:val="bottom"/>
              <w:rPr>
                <w:rFonts w:eastAsia="Times New Roman" w:cs="Arial"/>
                <w:color w:val="000000"/>
                <w:kern w:val="24"/>
                <w:sz w:val="20"/>
                <w:szCs w:val="20"/>
                <w:lang w:val="en-US" w:eastAsia="es-CO"/>
              </w:rPr>
            </w:pPr>
            <w:r w:rsidRPr="00496BBC">
              <w:rPr>
                <w:rFonts w:eastAsia="Times New Roman" w:cs="Arial"/>
                <w:color w:val="000000"/>
                <w:kern w:val="24"/>
                <w:sz w:val="20"/>
                <w:szCs w:val="20"/>
                <w:lang w:val="en-US" w:eastAsia="es-CO"/>
              </w:rPr>
              <w:t>4.2%</w:t>
            </w:r>
          </w:p>
        </w:tc>
      </w:tr>
      <w:tr w:rsidR="003B41C3" w:rsidRPr="00C7331E" w14:paraId="5ACA26FF" w14:textId="77777777" w:rsidTr="003B41C3">
        <w:trPr>
          <w:trHeight w:val="170"/>
          <w:jc w:val="center"/>
        </w:trPr>
        <w:tc>
          <w:tcPr>
            <w:tcW w:w="360" w:type="dxa"/>
            <w:shd w:val="clear" w:color="auto" w:fill="auto"/>
            <w:tcMar>
              <w:top w:w="10" w:type="dxa"/>
              <w:left w:w="10" w:type="dxa"/>
              <w:bottom w:w="0" w:type="dxa"/>
              <w:right w:w="10" w:type="dxa"/>
            </w:tcMar>
            <w:vAlign w:val="center"/>
            <w:hideMark/>
          </w:tcPr>
          <w:p w14:paraId="3CCD5082"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color w:val="000000"/>
                <w:kern w:val="24"/>
                <w:sz w:val="20"/>
                <w:szCs w:val="20"/>
                <w:lang w:val="es-CO" w:eastAsia="es-CO"/>
              </w:rPr>
              <w:t>6</w:t>
            </w:r>
          </w:p>
        </w:tc>
        <w:tc>
          <w:tcPr>
            <w:tcW w:w="3609" w:type="dxa"/>
            <w:tcBorders>
              <w:top w:val="nil"/>
              <w:bottom w:val="nil"/>
            </w:tcBorders>
            <w:shd w:val="clear" w:color="auto" w:fill="548DD4" w:themeFill="text2" w:themeFillTint="99"/>
            <w:tcMar>
              <w:top w:w="15" w:type="dxa"/>
              <w:left w:w="15" w:type="dxa"/>
              <w:bottom w:w="0" w:type="dxa"/>
              <w:right w:w="15" w:type="dxa"/>
            </w:tcMar>
            <w:vAlign w:val="center"/>
            <w:hideMark/>
          </w:tcPr>
          <w:p w14:paraId="2B965123" w14:textId="77777777" w:rsidR="003B41C3" w:rsidRPr="00496BBC" w:rsidRDefault="003B41C3" w:rsidP="003B41C3">
            <w:pPr>
              <w:spacing w:after="0"/>
              <w:textAlignment w:val="bottom"/>
              <w:rPr>
                <w:rFonts w:eastAsia="Times New Roman" w:cs="Arial"/>
                <w:sz w:val="20"/>
                <w:szCs w:val="20"/>
                <w:lang w:val="es-CO" w:eastAsia="es-CO"/>
              </w:rPr>
            </w:pPr>
            <w:r w:rsidRPr="00496BBC">
              <w:rPr>
                <w:rFonts w:eastAsia="Times New Roman" w:cs="Arial"/>
                <w:color w:val="FFFFFF" w:themeColor="background1"/>
                <w:kern w:val="24"/>
                <w:sz w:val="20"/>
                <w:szCs w:val="20"/>
                <w:lang w:val="en-US" w:eastAsia="es-CO"/>
              </w:rPr>
              <w:t>FISCALÍA</w:t>
            </w:r>
          </w:p>
        </w:tc>
        <w:tc>
          <w:tcPr>
            <w:tcW w:w="1541" w:type="dxa"/>
            <w:tcBorders>
              <w:top w:val="dashSmallGap" w:sz="4" w:space="0" w:color="auto"/>
              <w:bottom w:val="dashSmallGap" w:sz="4" w:space="0" w:color="auto"/>
            </w:tcBorders>
            <w:shd w:val="clear" w:color="auto" w:fill="auto"/>
            <w:tcMar>
              <w:top w:w="15" w:type="dxa"/>
              <w:left w:w="15" w:type="dxa"/>
              <w:bottom w:w="0" w:type="dxa"/>
              <w:right w:w="15" w:type="dxa"/>
            </w:tcMar>
            <w:vAlign w:val="center"/>
            <w:hideMark/>
          </w:tcPr>
          <w:p w14:paraId="40B37140" w14:textId="77777777" w:rsidR="003B41C3" w:rsidRPr="00496BBC" w:rsidRDefault="003B41C3" w:rsidP="003B41C3">
            <w:pPr>
              <w:spacing w:after="0"/>
              <w:jc w:val="center"/>
              <w:textAlignment w:val="bottom"/>
              <w:rPr>
                <w:rFonts w:eastAsia="Times New Roman" w:cs="Arial"/>
                <w:sz w:val="20"/>
                <w:szCs w:val="20"/>
                <w:lang w:val="es-CO" w:eastAsia="es-CO"/>
              </w:rPr>
            </w:pPr>
            <w:r w:rsidRPr="00496BBC">
              <w:rPr>
                <w:rFonts w:eastAsia="Times New Roman" w:cs="Arial"/>
                <w:color w:val="000000"/>
                <w:kern w:val="24"/>
                <w:sz w:val="20"/>
                <w:szCs w:val="20"/>
                <w:lang w:val="en-US" w:eastAsia="es-CO"/>
              </w:rPr>
              <w:t>11.061</w:t>
            </w:r>
          </w:p>
        </w:tc>
        <w:tc>
          <w:tcPr>
            <w:tcW w:w="2287" w:type="dxa"/>
            <w:tcBorders>
              <w:top w:val="dashSmallGap" w:sz="4" w:space="0" w:color="auto"/>
              <w:bottom w:val="dashSmallGap" w:sz="4" w:space="0" w:color="auto"/>
            </w:tcBorders>
            <w:vAlign w:val="center"/>
          </w:tcPr>
          <w:p w14:paraId="3F0C6D4E" w14:textId="77777777" w:rsidR="003B41C3" w:rsidRPr="00496BBC" w:rsidRDefault="003B41C3" w:rsidP="003B41C3">
            <w:pPr>
              <w:spacing w:after="0"/>
              <w:jc w:val="center"/>
              <w:textAlignment w:val="bottom"/>
              <w:rPr>
                <w:rFonts w:eastAsia="Times New Roman" w:cs="Arial"/>
                <w:color w:val="000000"/>
                <w:kern w:val="24"/>
                <w:sz w:val="20"/>
                <w:szCs w:val="20"/>
                <w:lang w:val="en-US" w:eastAsia="es-CO"/>
              </w:rPr>
            </w:pPr>
            <w:r w:rsidRPr="00496BBC">
              <w:rPr>
                <w:rFonts w:eastAsia="Times New Roman" w:cs="Arial"/>
                <w:color w:val="000000"/>
                <w:kern w:val="24"/>
                <w:sz w:val="20"/>
                <w:szCs w:val="20"/>
                <w:lang w:val="en-US" w:eastAsia="es-CO"/>
              </w:rPr>
              <w:t>3.8%</w:t>
            </w:r>
          </w:p>
        </w:tc>
      </w:tr>
      <w:tr w:rsidR="003B41C3" w:rsidRPr="00C7331E" w14:paraId="1E4BC5C4" w14:textId="77777777" w:rsidTr="003B41C3">
        <w:trPr>
          <w:trHeight w:val="170"/>
          <w:jc w:val="center"/>
        </w:trPr>
        <w:tc>
          <w:tcPr>
            <w:tcW w:w="360" w:type="dxa"/>
            <w:shd w:val="clear" w:color="auto" w:fill="auto"/>
            <w:tcMar>
              <w:top w:w="10" w:type="dxa"/>
              <w:left w:w="10" w:type="dxa"/>
              <w:bottom w:w="0" w:type="dxa"/>
              <w:right w:w="10" w:type="dxa"/>
            </w:tcMar>
            <w:vAlign w:val="center"/>
            <w:hideMark/>
          </w:tcPr>
          <w:p w14:paraId="1846E06D"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color w:val="000000"/>
                <w:kern w:val="24"/>
                <w:sz w:val="20"/>
                <w:szCs w:val="20"/>
                <w:lang w:val="es-CO" w:eastAsia="es-CO"/>
              </w:rPr>
              <w:t>7</w:t>
            </w:r>
          </w:p>
        </w:tc>
        <w:tc>
          <w:tcPr>
            <w:tcW w:w="3609" w:type="dxa"/>
            <w:tcBorders>
              <w:top w:val="nil"/>
              <w:bottom w:val="nil"/>
              <w:right w:val="nil"/>
            </w:tcBorders>
            <w:shd w:val="clear" w:color="auto" w:fill="548DD4" w:themeFill="text2" w:themeFillTint="99"/>
            <w:tcMar>
              <w:top w:w="15" w:type="dxa"/>
              <w:left w:w="15" w:type="dxa"/>
              <w:bottom w:w="0" w:type="dxa"/>
              <w:right w:w="15" w:type="dxa"/>
            </w:tcMar>
            <w:vAlign w:val="center"/>
            <w:hideMark/>
          </w:tcPr>
          <w:p w14:paraId="721C7CA0" w14:textId="77777777" w:rsidR="003B41C3" w:rsidRPr="00496BBC" w:rsidRDefault="003B41C3" w:rsidP="003B41C3">
            <w:pPr>
              <w:spacing w:after="0"/>
              <w:textAlignment w:val="bottom"/>
              <w:rPr>
                <w:rFonts w:eastAsia="Times New Roman" w:cs="Arial"/>
                <w:sz w:val="20"/>
                <w:szCs w:val="20"/>
                <w:lang w:val="es-CO" w:eastAsia="es-CO"/>
              </w:rPr>
            </w:pPr>
            <w:r w:rsidRPr="00496BBC">
              <w:rPr>
                <w:rFonts w:eastAsia="Times New Roman" w:cs="Arial"/>
                <w:color w:val="FFFFFF" w:themeColor="background1"/>
                <w:kern w:val="24"/>
                <w:sz w:val="20"/>
                <w:szCs w:val="20"/>
                <w:lang w:val="en-US" w:eastAsia="es-CO"/>
              </w:rPr>
              <w:t>RAMA JUDICIAL</w:t>
            </w:r>
          </w:p>
        </w:tc>
        <w:tc>
          <w:tcPr>
            <w:tcW w:w="1541" w:type="dxa"/>
            <w:tcBorders>
              <w:top w:val="dashSmallGap" w:sz="4" w:space="0" w:color="auto"/>
              <w:left w:val="nil"/>
              <w:bottom w:val="dashSmallGap" w:sz="4" w:space="0" w:color="auto"/>
            </w:tcBorders>
            <w:shd w:val="clear" w:color="auto" w:fill="auto"/>
            <w:tcMar>
              <w:top w:w="15" w:type="dxa"/>
              <w:left w:w="15" w:type="dxa"/>
              <w:bottom w:w="0" w:type="dxa"/>
              <w:right w:w="15" w:type="dxa"/>
            </w:tcMar>
            <w:vAlign w:val="center"/>
            <w:hideMark/>
          </w:tcPr>
          <w:p w14:paraId="49E60DD2" w14:textId="77777777" w:rsidR="003B41C3" w:rsidRPr="00496BBC" w:rsidRDefault="003B41C3" w:rsidP="003B41C3">
            <w:pPr>
              <w:spacing w:after="0"/>
              <w:jc w:val="center"/>
              <w:textAlignment w:val="bottom"/>
              <w:rPr>
                <w:rFonts w:eastAsia="Times New Roman" w:cs="Arial"/>
                <w:sz w:val="20"/>
                <w:szCs w:val="20"/>
                <w:lang w:val="es-CO" w:eastAsia="es-CO"/>
              </w:rPr>
            </w:pPr>
            <w:r w:rsidRPr="00496BBC">
              <w:rPr>
                <w:rFonts w:eastAsia="Times New Roman" w:cs="Arial"/>
                <w:color w:val="000000"/>
                <w:kern w:val="24"/>
                <w:sz w:val="20"/>
                <w:szCs w:val="20"/>
                <w:lang w:val="en-US" w:eastAsia="es-CO"/>
              </w:rPr>
              <w:t>7.037</w:t>
            </w:r>
          </w:p>
        </w:tc>
        <w:tc>
          <w:tcPr>
            <w:tcW w:w="2287" w:type="dxa"/>
            <w:tcBorders>
              <w:top w:val="dashSmallGap" w:sz="4" w:space="0" w:color="auto"/>
              <w:left w:val="nil"/>
              <w:bottom w:val="dashSmallGap" w:sz="4" w:space="0" w:color="auto"/>
            </w:tcBorders>
            <w:vAlign w:val="center"/>
          </w:tcPr>
          <w:p w14:paraId="19AD0955" w14:textId="77777777" w:rsidR="003B41C3" w:rsidRPr="00496BBC" w:rsidRDefault="003B41C3" w:rsidP="003B41C3">
            <w:pPr>
              <w:spacing w:after="0"/>
              <w:jc w:val="center"/>
              <w:textAlignment w:val="bottom"/>
              <w:rPr>
                <w:rFonts w:eastAsia="Times New Roman" w:cs="Arial"/>
                <w:color w:val="000000"/>
                <w:kern w:val="24"/>
                <w:sz w:val="20"/>
                <w:szCs w:val="20"/>
                <w:lang w:val="en-US" w:eastAsia="es-CO"/>
              </w:rPr>
            </w:pPr>
            <w:r w:rsidRPr="00496BBC">
              <w:rPr>
                <w:rFonts w:eastAsia="Times New Roman" w:cs="Arial"/>
                <w:color w:val="000000"/>
                <w:kern w:val="24"/>
                <w:sz w:val="20"/>
                <w:szCs w:val="20"/>
                <w:lang w:val="en-US" w:eastAsia="es-CO"/>
              </w:rPr>
              <w:t>2.4%</w:t>
            </w:r>
          </w:p>
        </w:tc>
      </w:tr>
      <w:tr w:rsidR="003B41C3" w:rsidRPr="00C7331E" w14:paraId="50F9CAA2" w14:textId="77777777" w:rsidTr="003B41C3">
        <w:trPr>
          <w:trHeight w:val="170"/>
          <w:jc w:val="center"/>
        </w:trPr>
        <w:tc>
          <w:tcPr>
            <w:tcW w:w="360" w:type="dxa"/>
            <w:shd w:val="clear" w:color="auto" w:fill="auto"/>
            <w:tcMar>
              <w:top w:w="10" w:type="dxa"/>
              <w:left w:w="10" w:type="dxa"/>
              <w:bottom w:w="0" w:type="dxa"/>
              <w:right w:w="10" w:type="dxa"/>
            </w:tcMar>
            <w:vAlign w:val="center"/>
            <w:hideMark/>
          </w:tcPr>
          <w:p w14:paraId="5BEEB968"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color w:val="000000"/>
                <w:kern w:val="24"/>
                <w:sz w:val="20"/>
                <w:szCs w:val="20"/>
                <w:lang w:val="es-CO" w:eastAsia="es-CO"/>
              </w:rPr>
              <w:t>8</w:t>
            </w:r>
          </w:p>
        </w:tc>
        <w:tc>
          <w:tcPr>
            <w:tcW w:w="3609" w:type="dxa"/>
            <w:tcBorders>
              <w:top w:val="nil"/>
              <w:bottom w:val="nil"/>
              <w:right w:val="nil"/>
            </w:tcBorders>
            <w:shd w:val="clear" w:color="auto" w:fill="548DD4" w:themeFill="text2" w:themeFillTint="99"/>
            <w:tcMar>
              <w:top w:w="15" w:type="dxa"/>
              <w:left w:w="15" w:type="dxa"/>
              <w:bottom w:w="0" w:type="dxa"/>
              <w:right w:w="15" w:type="dxa"/>
            </w:tcMar>
            <w:vAlign w:val="center"/>
          </w:tcPr>
          <w:p w14:paraId="704BB660" w14:textId="77777777" w:rsidR="003B41C3" w:rsidRPr="00496BBC" w:rsidRDefault="003B41C3" w:rsidP="003B41C3">
            <w:pPr>
              <w:spacing w:after="0"/>
              <w:textAlignment w:val="bottom"/>
              <w:rPr>
                <w:rFonts w:eastAsia="Times New Roman" w:cs="Arial"/>
                <w:sz w:val="20"/>
                <w:szCs w:val="20"/>
                <w:lang w:val="es-CO" w:eastAsia="es-CO"/>
              </w:rPr>
            </w:pPr>
            <w:r w:rsidRPr="00496BBC">
              <w:rPr>
                <w:rFonts w:eastAsia="Times New Roman" w:cs="Arial"/>
                <w:color w:val="FFFFFF" w:themeColor="background1"/>
                <w:kern w:val="24"/>
                <w:sz w:val="20"/>
                <w:szCs w:val="20"/>
                <w:lang w:val="en-US" w:eastAsia="es-CO"/>
              </w:rPr>
              <w:t>TRANSPORTE</w:t>
            </w:r>
          </w:p>
        </w:tc>
        <w:tc>
          <w:tcPr>
            <w:tcW w:w="1541" w:type="dxa"/>
            <w:tcBorders>
              <w:top w:val="dashSmallGap" w:sz="4" w:space="0" w:color="auto"/>
              <w:left w:val="nil"/>
              <w:bottom w:val="dashSmallGap" w:sz="4" w:space="0" w:color="auto"/>
            </w:tcBorders>
            <w:shd w:val="clear" w:color="auto" w:fill="auto"/>
            <w:tcMar>
              <w:top w:w="15" w:type="dxa"/>
              <w:left w:w="15" w:type="dxa"/>
              <w:bottom w:w="0" w:type="dxa"/>
              <w:right w:w="15" w:type="dxa"/>
            </w:tcMar>
            <w:vAlign w:val="center"/>
          </w:tcPr>
          <w:p w14:paraId="23A07AC9" w14:textId="77777777" w:rsidR="003B41C3" w:rsidRPr="00496BBC" w:rsidRDefault="003B41C3" w:rsidP="003B41C3">
            <w:pPr>
              <w:spacing w:after="0"/>
              <w:jc w:val="center"/>
              <w:textAlignment w:val="bottom"/>
              <w:rPr>
                <w:rFonts w:eastAsia="Times New Roman" w:cs="Arial"/>
                <w:sz w:val="20"/>
                <w:szCs w:val="20"/>
                <w:lang w:val="es-CO" w:eastAsia="es-CO"/>
              </w:rPr>
            </w:pPr>
            <w:r w:rsidRPr="00496BBC">
              <w:rPr>
                <w:rFonts w:eastAsia="Times New Roman" w:cs="Arial"/>
                <w:color w:val="000000"/>
                <w:kern w:val="24"/>
                <w:sz w:val="20"/>
                <w:szCs w:val="20"/>
                <w:lang w:val="en-US" w:eastAsia="es-CO"/>
              </w:rPr>
              <w:t>5.955</w:t>
            </w:r>
          </w:p>
        </w:tc>
        <w:tc>
          <w:tcPr>
            <w:tcW w:w="2287" w:type="dxa"/>
            <w:tcBorders>
              <w:top w:val="dashSmallGap" w:sz="4" w:space="0" w:color="auto"/>
              <w:left w:val="nil"/>
              <w:bottom w:val="dashSmallGap" w:sz="4" w:space="0" w:color="auto"/>
            </w:tcBorders>
            <w:vAlign w:val="center"/>
          </w:tcPr>
          <w:p w14:paraId="5E9338E0" w14:textId="77777777" w:rsidR="003B41C3" w:rsidRPr="00496BBC" w:rsidRDefault="003B41C3" w:rsidP="003B41C3">
            <w:pPr>
              <w:spacing w:after="0"/>
              <w:jc w:val="center"/>
              <w:textAlignment w:val="bottom"/>
              <w:rPr>
                <w:rFonts w:eastAsia="Times New Roman" w:cs="Arial"/>
                <w:color w:val="000000"/>
                <w:kern w:val="24"/>
                <w:sz w:val="20"/>
                <w:szCs w:val="20"/>
                <w:lang w:val="en-US" w:eastAsia="es-CO"/>
              </w:rPr>
            </w:pPr>
            <w:r w:rsidRPr="00496BBC">
              <w:rPr>
                <w:rFonts w:eastAsia="Times New Roman" w:cs="Arial"/>
                <w:color w:val="000000"/>
                <w:kern w:val="24"/>
                <w:sz w:val="20"/>
                <w:szCs w:val="20"/>
                <w:lang w:val="en-US" w:eastAsia="es-CO"/>
              </w:rPr>
              <w:t>2.0%</w:t>
            </w:r>
          </w:p>
        </w:tc>
      </w:tr>
      <w:tr w:rsidR="003B41C3" w:rsidRPr="00C7331E" w14:paraId="65DFF2A9" w14:textId="77777777" w:rsidTr="003B41C3">
        <w:trPr>
          <w:trHeight w:val="170"/>
          <w:jc w:val="center"/>
        </w:trPr>
        <w:tc>
          <w:tcPr>
            <w:tcW w:w="360" w:type="dxa"/>
            <w:shd w:val="clear" w:color="auto" w:fill="auto"/>
            <w:tcMar>
              <w:top w:w="10" w:type="dxa"/>
              <w:left w:w="10" w:type="dxa"/>
              <w:bottom w:w="0" w:type="dxa"/>
              <w:right w:w="10" w:type="dxa"/>
            </w:tcMar>
            <w:vAlign w:val="center"/>
            <w:hideMark/>
          </w:tcPr>
          <w:p w14:paraId="19DF79DA"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color w:val="000000"/>
                <w:kern w:val="24"/>
                <w:sz w:val="20"/>
                <w:szCs w:val="20"/>
                <w:lang w:val="es-CO" w:eastAsia="es-CO"/>
              </w:rPr>
              <w:t>9</w:t>
            </w:r>
          </w:p>
        </w:tc>
        <w:tc>
          <w:tcPr>
            <w:tcW w:w="3609" w:type="dxa"/>
            <w:tcBorders>
              <w:top w:val="nil"/>
              <w:bottom w:val="nil"/>
            </w:tcBorders>
            <w:shd w:val="clear" w:color="auto" w:fill="548DD4" w:themeFill="text2" w:themeFillTint="99"/>
            <w:tcMar>
              <w:top w:w="15" w:type="dxa"/>
              <w:left w:w="15" w:type="dxa"/>
              <w:bottom w:w="0" w:type="dxa"/>
              <w:right w:w="15" w:type="dxa"/>
            </w:tcMar>
            <w:vAlign w:val="center"/>
          </w:tcPr>
          <w:p w14:paraId="2D52613C" w14:textId="77777777" w:rsidR="003B41C3" w:rsidRPr="00496BBC" w:rsidRDefault="003B41C3" w:rsidP="003B41C3">
            <w:pPr>
              <w:spacing w:after="0"/>
              <w:textAlignment w:val="bottom"/>
              <w:rPr>
                <w:rFonts w:eastAsia="Times New Roman" w:cs="Arial"/>
                <w:color w:val="FFFFFF" w:themeColor="background1"/>
                <w:sz w:val="20"/>
                <w:szCs w:val="20"/>
                <w:lang w:val="es-CO" w:eastAsia="es-CO"/>
              </w:rPr>
            </w:pPr>
            <w:r w:rsidRPr="00496BBC">
              <w:rPr>
                <w:rFonts w:eastAsia="Times New Roman" w:cs="Arial"/>
                <w:color w:val="FFFFFF" w:themeColor="background1"/>
                <w:sz w:val="20"/>
                <w:szCs w:val="20"/>
                <w:lang w:val="es-CO" w:eastAsia="es-CO"/>
              </w:rPr>
              <w:t>PLANEACIÓN</w:t>
            </w:r>
          </w:p>
        </w:tc>
        <w:tc>
          <w:tcPr>
            <w:tcW w:w="1541" w:type="dxa"/>
            <w:tcBorders>
              <w:top w:val="dashSmallGap" w:sz="4" w:space="0" w:color="auto"/>
              <w:bottom w:val="dashSmallGap" w:sz="4" w:space="0" w:color="auto"/>
            </w:tcBorders>
            <w:shd w:val="clear" w:color="auto" w:fill="auto"/>
            <w:tcMar>
              <w:top w:w="15" w:type="dxa"/>
              <w:left w:w="15" w:type="dxa"/>
              <w:bottom w:w="0" w:type="dxa"/>
              <w:right w:w="15" w:type="dxa"/>
            </w:tcMar>
            <w:vAlign w:val="center"/>
          </w:tcPr>
          <w:p w14:paraId="4C6907BF" w14:textId="77777777" w:rsidR="003B41C3" w:rsidRPr="00496BBC" w:rsidRDefault="003B41C3" w:rsidP="003B41C3">
            <w:pPr>
              <w:spacing w:after="0"/>
              <w:jc w:val="center"/>
              <w:textAlignment w:val="bottom"/>
              <w:rPr>
                <w:rFonts w:eastAsia="Times New Roman" w:cs="Arial"/>
                <w:sz w:val="20"/>
                <w:szCs w:val="20"/>
                <w:lang w:val="es-CO" w:eastAsia="es-CO"/>
              </w:rPr>
            </w:pPr>
            <w:r w:rsidRPr="00496BBC">
              <w:rPr>
                <w:rFonts w:eastAsia="Times New Roman" w:cs="Arial"/>
                <w:sz w:val="20"/>
                <w:szCs w:val="20"/>
                <w:lang w:val="es-CO" w:eastAsia="es-CO"/>
              </w:rPr>
              <w:t>4.669</w:t>
            </w:r>
          </w:p>
        </w:tc>
        <w:tc>
          <w:tcPr>
            <w:tcW w:w="2287" w:type="dxa"/>
            <w:tcBorders>
              <w:top w:val="dashSmallGap" w:sz="4" w:space="0" w:color="auto"/>
              <w:bottom w:val="dashSmallGap" w:sz="4" w:space="0" w:color="auto"/>
            </w:tcBorders>
            <w:vAlign w:val="center"/>
          </w:tcPr>
          <w:p w14:paraId="745B1921" w14:textId="77777777" w:rsidR="003B41C3" w:rsidRPr="00496BBC" w:rsidRDefault="003B41C3" w:rsidP="003B41C3">
            <w:pPr>
              <w:spacing w:after="0"/>
              <w:jc w:val="center"/>
              <w:textAlignment w:val="bottom"/>
              <w:rPr>
                <w:rFonts w:eastAsia="Times New Roman" w:cs="Arial"/>
                <w:color w:val="000000"/>
                <w:kern w:val="24"/>
                <w:sz w:val="20"/>
                <w:szCs w:val="20"/>
                <w:lang w:val="en-US" w:eastAsia="es-CO"/>
              </w:rPr>
            </w:pPr>
            <w:r w:rsidRPr="00496BBC">
              <w:rPr>
                <w:rFonts w:eastAsia="Times New Roman" w:cs="Arial"/>
                <w:color w:val="000000"/>
                <w:kern w:val="24"/>
                <w:sz w:val="20"/>
                <w:szCs w:val="20"/>
                <w:lang w:val="en-US" w:eastAsia="es-CO"/>
              </w:rPr>
              <w:t>1.6%</w:t>
            </w:r>
          </w:p>
        </w:tc>
      </w:tr>
      <w:tr w:rsidR="003B41C3" w:rsidRPr="00C7331E" w14:paraId="1085EB74" w14:textId="77777777" w:rsidTr="003B41C3">
        <w:trPr>
          <w:trHeight w:val="170"/>
          <w:jc w:val="center"/>
        </w:trPr>
        <w:tc>
          <w:tcPr>
            <w:tcW w:w="360" w:type="dxa"/>
            <w:shd w:val="clear" w:color="auto" w:fill="auto"/>
            <w:tcMar>
              <w:top w:w="10" w:type="dxa"/>
              <w:left w:w="10" w:type="dxa"/>
              <w:bottom w:w="0" w:type="dxa"/>
              <w:right w:w="10" w:type="dxa"/>
            </w:tcMar>
            <w:vAlign w:val="center"/>
            <w:hideMark/>
          </w:tcPr>
          <w:p w14:paraId="5B6D17FB"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color w:val="000000"/>
                <w:kern w:val="24"/>
                <w:sz w:val="20"/>
                <w:szCs w:val="20"/>
                <w:lang w:val="es-CO" w:eastAsia="es-CO"/>
              </w:rPr>
              <w:t>10</w:t>
            </w:r>
          </w:p>
        </w:tc>
        <w:tc>
          <w:tcPr>
            <w:tcW w:w="3609" w:type="dxa"/>
            <w:tcBorders>
              <w:top w:val="nil"/>
              <w:bottom w:val="nil"/>
            </w:tcBorders>
            <w:shd w:val="clear" w:color="auto" w:fill="548DD4" w:themeFill="text2" w:themeFillTint="99"/>
            <w:tcMar>
              <w:top w:w="15" w:type="dxa"/>
              <w:left w:w="15" w:type="dxa"/>
              <w:bottom w:w="0" w:type="dxa"/>
              <w:right w:w="15" w:type="dxa"/>
            </w:tcMar>
            <w:vAlign w:val="center"/>
          </w:tcPr>
          <w:p w14:paraId="033DE92E" w14:textId="77777777" w:rsidR="003B41C3" w:rsidRPr="00496BBC" w:rsidRDefault="003B41C3" w:rsidP="003B41C3">
            <w:pPr>
              <w:spacing w:after="0"/>
              <w:textAlignment w:val="bottom"/>
              <w:rPr>
                <w:rFonts w:eastAsia="Times New Roman" w:cs="Arial"/>
                <w:color w:val="FFFFFF" w:themeColor="background1"/>
                <w:sz w:val="20"/>
                <w:szCs w:val="20"/>
                <w:lang w:val="es-CO" w:eastAsia="es-CO"/>
              </w:rPr>
            </w:pPr>
            <w:r w:rsidRPr="00496BBC">
              <w:rPr>
                <w:rFonts w:eastAsia="Times New Roman" w:cs="Arial"/>
                <w:color w:val="FFFFFF" w:themeColor="background1"/>
                <w:sz w:val="20"/>
                <w:szCs w:val="20"/>
                <w:lang w:val="es-CO" w:eastAsia="es-CO"/>
              </w:rPr>
              <w:t>COMERCIO, INDUSTRIA Y TURISMO</w:t>
            </w:r>
          </w:p>
        </w:tc>
        <w:tc>
          <w:tcPr>
            <w:tcW w:w="1541" w:type="dxa"/>
            <w:tcBorders>
              <w:top w:val="dashSmallGap" w:sz="4" w:space="0" w:color="auto"/>
              <w:bottom w:val="dashSmallGap" w:sz="4" w:space="0" w:color="auto"/>
            </w:tcBorders>
            <w:shd w:val="clear" w:color="auto" w:fill="auto"/>
            <w:tcMar>
              <w:top w:w="15" w:type="dxa"/>
              <w:left w:w="15" w:type="dxa"/>
              <w:bottom w:w="0" w:type="dxa"/>
              <w:right w:w="15" w:type="dxa"/>
            </w:tcMar>
            <w:vAlign w:val="center"/>
          </w:tcPr>
          <w:p w14:paraId="792739E3" w14:textId="77777777" w:rsidR="003B41C3" w:rsidRPr="00496BBC" w:rsidRDefault="003B41C3" w:rsidP="003B41C3">
            <w:pPr>
              <w:spacing w:after="0"/>
              <w:jc w:val="center"/>
              <w:textAlignment w:val="bottom"/>
              <w:rPr>
                <w:rFonts w:eastAsia="Times New Roman" w:cs="Arial"/>
                <w:sz w:val="20"/>
                <w:szCs w:val="20"/>
                <w:lang w:val="es-CO" w:eastAsia="es-CO"/>
              </w:rPr>
            </w:pPr>
            <w:r w:rsidRPr="00496BBC">
              <w:rPr>
                <w:rFonts w:eastAsia="Times New Roman" w:cs="Arial"/>
                <w:sz w:val="20"/>
                <w:szCs w:val="20"/>
                <w:lang w:val="es-CO" w:eastAsia="es-CO"/>
              </w:rPr>
              <w:t>4.111</w:t>
            </w:r>
          </w:p>
        </w:tc>
        <w:tc>
          <w:tcPr>
            <w:tcW w:w="2287" w:type="dxa"/>
            <w:tcBorders>
              <w:top w:val="dashSmallGap" w:sz="4" w:space="0" w:color="auto"/>
              <w:bottom w:val="dashSmallGap" w:sz="4" w:space="0" w:color="auto"/>
            </w:tcBorders>
            <w:vAlign w:val="center"/>
          </w:tcPr>
          <w:p w14:paraId="70E4B1CD" w14:textId="77777777" w:rsidR="003B41C3" w:rsidRPr="00496BBC" w:rsidRDefault="003B41C3" w:rsidP="003B41C3">
            <w:pPr>
              <w:spacing w:after="0"/>
              <w:jc w:val="center"/>
              <w:textAlignment w:val="bottom"/>
              <w:rPr>
                <w:rFonts w:eastAsia="Times New Roman" w:cs="Arial"/>
                <w:color w:val="000000"/>
                <w:kern w:val="24"/>
                <w:sz w:val="20"/>
                <w:szCs w:val="20"/>
                <w:lang w:val="en-US" w:eastAsia="es-CO"/>
              </w:rPr>
            </w:pPr>
            <w:r w:rsidRPr="00496BBC">
              <w:rPr>
                <w:rFonts w:eastAsia="Times New Roman" w:cs="Arial"/>
                <w:color w:val="000000"/>
                <w:kern w:val="24"/>
                <w:sz w:val="20"/>
                <w:szCs w:val="20"/>
                <w:lang w:val="en-US" w:eastAsia="es-CO"/>
              </w:rPr>
              <w:t>1.4%</w:t>
            </w:r>
          </w:p>
        </w:tc>
      </w:tr>
      <w:tr w:rsidR="003B41C3" w:rsidRPr="00C7331E" w14:paraId="7E6EB2FC" w14:textId="77777777" w:rsidTr="003B41C3">
        <w:trPr>
          <w:trHeight w:val="457"/>
          <w:jc w:val="center"/>
        </w:trPr>
        <w:tc>
          <w:tcPr>
            <w:tcW w:w="360" w:type="dxa"/>
            <w:shd w:val="clear" w:color="auto" w:fill="auto"/>
            <w:tcMar>
              <w:top w:w="10" w:type="dxa"/>
              <w:left w:w="10" w:type="dxa"/>
              <w:bottom w:w="0" w:type="dxa"/>
              <w:right w:w="10" w:type="dxa"/>
            </w:tcMar>
            <w:vAlign w:val="center"/>
            <w:hideMark/>
          </w:tcPr>
          <w:p w14:paraId="7CA67CDB" w14:textId="77777777" w:rsidR="003B41C3" w:rsidRPr="00496BBC" w:rsidRDefault="003B41C3" w:rsidP="003B41C3">
            <w:pPr>
              <w:spacing w:after="0"/>
              <w:jc w:val="center"/>
              <w:textAlignment w:val="center"/>
              <w:rPr>
                <w:rFonts w:eastAsia="Times New Roman" w:cs="Arial"/>
                <w:sz w:val="20"/>
                <w:szCs w:val="20"/>
                <w:lang w:val="es-CO" w:eastAsia="es-CO"/>
              </w:rPr>
            </w:pPr>
            <w:r w:rsidRPr="00496BBC">
              <w:rPr>
                <w:rFonts w:eastAsia="Times New Roman" w:cs="Arial"/>
                <w:color w:val="000000"/>
                <w:kern w:val="24"/>
                <w:sz w:val="20"/>
                <w:szCs w:val="20"/>
                <w:lang w:val="es-CO" w:eastAsia="es-CO"/>
              </w:rPr>
              <w:t> </w:t>
            </w:r>
          </w:p>
        </w:tc>
        <w:tc>
          <w:tcPr>
            <w:tcW w:w="3609" w:type="dxa"/>
            <w:shd w:val="clear" w:color="auto" w:fill="auto"/>
            <w:tcMar>
              <w:top w:w="15" w:type="dxa"/>
              <w:left w:w="15" w:type="dxa"/>
              <w:bottom w:w="0" w:type="dxa"/>
              <w:right w:w="15" w:type="dxa"/>
            </w:tcMar>
            <w:vAlign w:val="center"/>
            <w:hideMark/>
          </w:tcPr>
          <w:p w14:paraId="1A10D4D9" w14:textId="77777777" w:rsidR="003B41C3" w:rsidRDefault="003B41C3" w:rsidP="003B41C3">
            <w:pPr>
              <w:spacing w:after="0"/>
              <w:textAlignment w:val="bottom"/>
              <w:rPr>
                <w:rFonts w:eastAsia="Times New Roman" w:cs="Arial"/>
                <w:b/>
                <w:bCs/>
                <w:kern w:val="24"/>
                <w:sz w:val="20"/>
                <w:szCs w:val="20"/>
                <w:lang w:val="es-ES" w:eastAsia="es-CO"/>
              </w:rPr>
            </w:pPr>
          </w:p>
          <w:p w14:paraId="12C242E8" w14:textId="77777777" w:rsidR="003B41C3" w:rsidRPr="00496BBC" w:rsidRDefault="003B41C3" w:rsidP="003B41C3">
            <w:pPr>
              <w:spacing w:after="0"/>
              <w:textAlignment w:val="bottom"/>
              <w:rPr>
                <w:rFonts w:eastAsia="Times New Roman" w:cs="Arial"/>
                <w:sz w:val="20"/>
                <w:szCs w:val="20"/>
                <w:lang w:val="es-CO" w:eastAsia="es-CO"/>
              </w:rPr>
            </w:pPr>
            <w:r w:rsidRPr="00496BBC">
              <w:rPr>
                <w:rFonts w:eastAsia="Times New Roman" w:cs="Arial"/>
                <w:b/>
                <w:bCs/>
                <w:kern w:val="24"/>
                <w:sz w:val="20"/>
                <w:szCs w:val="20"/>
                <w:lang w:val="es-ES" w:eastAsia="es-CO"/>
              </w:rPr>
              <w:t>TOTAL PROCESOS EN CALIDAD DEMANDADOS</w:t>
            </w:r>
          </w:p>
        </w:tc>
        <w:tc>
          <w:tcPr>
            <w:tcW w:w="1541" w:type="dxa"/>
            <w:tcBorders>
              <w:top w:val="dashSmallGap" w:sz="4" w:space="0" w:color="auto"/>
              <w:bottom w:val="dashSmallGap" w:sz="4" w:space="0" w:color="auto"/>
            </w:tcBorders>
            <w:shd w:val="clear" w:color="auto" w:fill="auto"/>
            <w:tcMar>
              <w:top w:w="15" w:type="dxa"/>
              <w:left w:w="15" w:type="dxa"/>
              <w:bottom w:w="0" w:type="dxa"/>
              <w:right w:w="15" w:type="dxa"/>
            </w:tcMar>
            <w:vAlign w:val="center"/>
            <w:hideMark/>
          </w:tcPr>
          <w:p w14:paraId="418D68FE" w14:textId="77777777" w:rsidR="003B41C3" w:rsidRPr="00496BBC" w:rsidRDefault="003B41C3" w:rsidP="003B41C3">
            <w:pPr>
              <w:spacing w:after="0"/>
              <w:jc w:val="center"/>
              <w:textAlignment w:val="bottom"/>
              <w:rPr>
                <w:rFonts w:eastAsia="Times New Roman" w:cs="Arial"/>
                <w:sz w:val="20"/>
                <w:szCs w:val="20"/>
                <w:lang w:val="es-CO" w:eastAsia="es-CO"/>
              </w:rPr>
            </w:pPr>
            <w:r w:rsidRPr="00496BBC">
              <w:rPr>
                <w:rFonts w:eastAsia="Times New Roman" w:cs="Arial"/>
                <w:b/>
                <w:bCs/>
                <w:color w:val="000000"/>
                <w:kern w:val="24"/>
                <w:sz w:val="20"/>
                <w:szCs w:val="20"/>
                <w:lang w:val="en-US" w:eastAsia="es-CO"/>
              </w:rPr>
              <w:t>273.399</w:t>
            </w:r>
          </w:p>
        </w:tc>
        <w:tc>
          <w:tcPr>
            <w:tcW w:w="2287" w:type="dxa"/>
            <w:tcBorders>
              <w:top w:val="dashSmallGap" w:sz="4" w:space="0" w:color="auto"/>
              <w:bottom w:val="dashSmallGap" w:sz="4" w:space="0" w:color="auto"/>
            </w:tcBorders>
            <w:vAlign w:val="center"/>
          </w:tcPr>
          <w:p w14:paraId="6901A047" w14:textId="77777777" w:rsidR="003B41C3" w:rsidRPr="00496BBC" w:rsidRDefault="003B41C3" w:rsidP="003B41C3">
            <w:pPr>
              <w:spacing w:after="0"/>
              <w:jc w:val="center"/>
              <w:textAlignment w:val="bottom"/>
              <w:rPr>
                <w:rFonts w:eastAsia="Times New Roman" w:cs="Arial"/>
                <w:b/>
                <w:bCs/>
                <w:color w:val="000000"/>
                <w:kern w:val="24"/>
                <w:sz w:val="20"/>
                <w:szCs w:val="20"/>
                <w:lang w:val="en-US" w:eastAsia="es-CO"/>
              </w:rPr>
            </w:pPr>
            <w:r w:rsidRPr="00496BBC">
              <w:rPr>
                <w:rFonts w:eastAsia="Times New Roman" w:cs="Arial"/>
                <w:b/>
                <w:bCs/>
                <w:color w:val="000000"/>
                <w:kern w:val="24"/>
                <w:sz w:val="20"/>
                <w:szCs w:val="20"/>
                <w:lang w:val="en-US" w:eastAsia="es-CO"/>
              </w:rPr>
              <w:t>89.5%</w:t>
            </w:r>
          </w:p>
        </w:tc>
      </w:tr>
      <w:tr w:rsidR="003B41C3" w:rsidRPr="00C7331E" w14:paraId="770E1268" w14:textId="77777777" w:rsidTr="003B41C3">
        <w:trPr>
          <w:trHeight w:val="170"/>
          <w:jc w:val="center"/>
        </w:trPr>
        <w:tc>
          <w:tcPr>
            <w:tcW w:w="360" w:type="dxa"/>
            <w:shd w:val="clear" w:color="auto" w:fill="auto"/>
            <w:tcMar>
              <w:top w:w="10" w:type="dxa"/>
              <w:left w:w="10" w:type="dxa"/>
              <w:bottom w:w="0" w:type="dxa"/>
              <w:right w:w="10" w:type="dxa"/>
            </w:tcMar>
            <w:vAlign w:val="center"/>
          </w:tcPr>
          <w:p w14:paraId="77D55CAA" w14:textId="77777777" w:rsidR="003B41C3" w:rsidRPr="00496BBC" w:rsidRDefault="003B41C3" w:rsidP="003B41C3">
            <w:pPr>
              <w:spacing w:after="0"/>
              <w:jc w:val="center"/>
              <w:textAlignment w:val="center"/>
              <w:rPr>
                <w:rFonts w:eastAsia="Times New Roman" w:cs="Arial"/>
                <w:color w:val="000000"/>
                <w:kern w:val="24"/>
                <w:sz w:val="20"/>
                <w:szCs w:val="20"/>
                <w:lang w:val="es-CO" w:eastAsia="es-CO"/>
              </w:rPr>
            </w:pPr>
          </w:p>
        </w:tc>
        <w:tc>
          <w:tcPr>
            <w:tcW w:w="3609" w:type="dxa"/>
            <w:shd w:val="clear" w:color="auto" w:fill="auto"/>
            <w:tcMar>
              <w:top w:w="15" w:type="dxa"/>
              <w:left w:w="15" w:type="dxa"/>
              <w:bottom w:w="0" w:type="dxa"/>
              <w:right w:w="15" w:type="dxa"/>
            </w:tcMar>
            <w:vAlign w:val="center"/>
          </w:tcPr>
          <w:p w14:paraId="4F50CDFC" w14:textId="77777777" w:rsidR="003B41C3" w:rsidRPr="00496BBC" w:rsidRDefault="003B41C3" w:rsidP="003B41C3">
            <w:pPr>
              <w:spacing w:after="0"/>
              <w:textAlignment w:val="bottom"/>
              <w:rPr>
                <w:rFonts w:eastAsia="Times New Roman" w:cs="Arial"/>
                <w:b/>
                <w:bCs/>
                <w:color w:val="4F81BD" w:themeColor="accent1"/>
                <w:kern w:val="24"/>
                <w:sz w:val="20"/>
                <w:szCs w:val="20"/>
                <w:lang w:val="es-ES" w:eastAsia="es-CO"/>
              </w:rPr>
            </w:pPr>
          </w:p>
        </w:tc>
        <w:tc>
          <w:tcPr>
            <w:tcW w:w="1541" w:type="dxa"/>
            <w:tcBorders>
              <w:top w:val="dashSmallGap" w:sz="4" w:space="0" w:color="auto"/>
            </w:tcBorders>
            <w:shd w:val="clear" w:color="auto" w:fill="auto"/>
            <w:tcMar>
              <w:top w:w="15" w:type="dxa"/>
              <w:left w:w="15" w:type="dxa"/>
              <w:bottom w:w="0" w:type="dxa"/>
              <w:right w:w="15" w:type="dxa"/>
            </w:tcMar>
            <w:vAlign w:val="center"/>
          </w:tcPr>
          <w:p w14:paraId="69FB097F" w14:textId="77777777" w:rsidR="003B41C3" w:rsidRPr="00496BBC" w:rsidRDefault="003B41C3" w:rsidP="003B41C3">
            <w:pPr>
              <w:spacing w:after="0"/>
              <w:jc w:val="center"/>
              <w:textAlignment w:val="bottom"/>
              <w:rPr>
                <w:rFonts w:eastAsia="Times New Roman" w:cs="Arial"/>
                <w:b/>
                <w:bCs/>
                <w:color w:val="000000"/>
                <w:kern w:val="24"/>
                <w:sz w:val="20"/>
                <w:szCs w:val="20"/>
                <w:lang w:val="en-US" w:eastAsia="es-CO"/>
              </w:rPr>
            </w:pPr>
          </w:p>
        </w:tc>
        <w:tc>
          <w:tcPr>
            <w:tcW w:w="2287" w:type="dxa"/>
            <w:tcBorders>
              <w:top w:val="dashSmallGap" w:sz="4" w:space="0" w:color="auto"/>
            </w:tcBorders>
            <w:vAlign w:val="center"/>
          </w:tcPr>
          <w:p w14:paraId="5EA83BE1" w14:textId="77777777" w:rsidR="003B41C3" w:rsidRPr="00496BBC" w:rsidRDefault="003B41C3" w:rsidP="003B41C3">
            <w:pPr>
              <w:spacing w:after="0"/>
              <w:jc w:val="center"/>
              <w:textAlignment w:val="bottom"/>
              <w:rPr>
                <w:rFonts w:eastAsia="Times New Roman" w:cs="Arial"/>
                <w:b/>
                <w:bCs/>
                <w:color w:val="000000"/>
                <w:kern w:val="24"/>
                <w:sz w:val="20"/>
                <w:szCs w:val="20"/>
                <w:lang w:val="en-US" w:eastAsia="es-CO"/>
              </w:rPr>
            </w:pPr>
          </w:p>
        </w:tc>
      </w:tr>
    </w:tbl>
    <w:p w14:paraId="71E520A8" w14:textId="77777777" w:rsidR="003B41C3" w:rsidRPr="00C7331E" w:rsidRDefault="003B41C3" w:rsidP="003B41C3">
      <w:pPr>
        <w:jc w:val="center"/>
        <w:rPr>
          <w:rFonts w:cs="Arial"/>
          <w:sz w:val="16"/>
          <w:szCs w:val="16"/>
        </w:rPr>
      </w:pPr>
      <w:r w:rsidRPr="00C7331E">
        <w:rPr>
          <w:rFonts w:cs="Arial"/>
          <w:b/>
          <w:sz w:val="16"/>
          <w:szCs w:val="16"/>
        </w:rPr>
        <w:t>Fuente</w:t>
      </w:r>
      <w:r w:rsidRPr="00C7331E">
        <w:rPr>
          <w:rFonts w:cs="Arial"/>
          <w:sz w:val="16"/>
          <w:szCs w:val="16"/>
        </w:rPr>
        <w:t>: Sistema Único de Gestión e Información de la Actividad Litigiosa del Estado (</w:t>
      </w:r>
      <w:proofErr w:type="spellStart"/>
      <w:r w:rsidRPr="00C7331E">
        <w:rPr>
          <w:rFonts w:cs="Arial"/>
          <w:sz w:val="16"/>
          <w:szCs w:val="16"/>
        </w:rPr>
        <w:t>Sep</w:t>
      </w:r>
      <w:proofErr w:type="spellEnd"/>
      <w:r w:rsidRPr="00C7331E">
        <w:rPr>
          <w:rFonts w:cs="Arial"/>
          <w:sz w:val="16"/>
          <w:szCs w:val="16"/>
        </w:rPr>
        <w:t xml:space="preserve"> 30 de 2013). </w:t>
      </w:r>
      <w:r w:rsidRPr="00C7331E">
        <w:rPr>
          <w:rFonts w:cs="Arial"/>
          <w:b/>
          <w:sz w:val="16"/>
          <w:szCs w:val="16"/>
        </w:rPr>
        <w:t>Cálculos:</w:t>
      </w:r>
      <w:r w:rsidRPr="00C7331E">
        <w:rPr>
          <w:rFonts w:cs="Arial"/>
          <w:sz w:val="16"/>
          <w:szCs w:val="16"/>
        </w:rPr>
        <w:t xml:space="preserve"> DGI-ANDJE</w:t>
      </w:r>
    </w:p>
    <w:p w14:paraId="7E22B70D" w14:textId="77777777" w:rsidR="003B41C3" w:rsidRDefault="003B41C3" w:rsidP="003B41C3">
      <w:pPr>
        <w:ind w:right="-283"/>
        <w:jc w:val="both"/>
        <w:rPr>
          <w:lang w:val="es-CO"/>
        </w:rPr>
      </w:pPr>
      <w:r w:rsidRPr="00C7331E">
        <w:rPr>
          <w:lang w:val="es-CO"/>
        </w:rPr>
        <w:t>Para fines de reflejar el estado de la actividad litigiosa no es suficiente un análisis del volumen de procesos, es también necesario un estudio sobre el valor de las pretensiones y la participación de cada sector (Tabla 3). En este sentido, el sector Hacienda y Crédito Público lidera la lista con una participación de 22.8% del total de pretensiones de procesos en contra de la Nación, con una ventaja considerable respecto al segundo y tercer sector, de casi diez puntos porcentuales. La ventaja del sector Hacienda frente al resto está explicada en primer lugar por el contexto en el que se encuentra la Superintendencia Financiera de Colombia que concentra el mayor valor de pretensiones para septiembre de 2013, las cuales ascienden a $54.4 billones. Y en segundo lugar</w:t>
      </w:r>
      <w:r>
        <w:rPr>
          <w:lang w:val="es-CO"/>
        </w:rPr>
        <w:t>,</w:t>
      </w:r>
      <w:r w:rsidRPr="00C7331E">
        <w:rPr>
          <w:lang w:val="es-CO"/>
        </w:rPr>
        <w:t xml:space="preserve"> por ser el sector líder en procesos de más de $20.000 millones en pretensiones con un total de 139 procesos superando ampliamente al segundo sector -Defensa Nacional-, y tercer sector –Fiscalía-, por 40 y 58 procesos respectivamente. </w:t>
      </w:r>
    </w:p>
    <w:p w14:paraId="14D56ED4" w14:textId="77777777" w:rsidR="003B41C3" w:rsidRPr="00157E06" w:rsidRDefault="003B41C3" w:rsidP="003B41C3">
      <w:pPr>
        <w:ind w:right="-283"/>
        <w:jc w:val="both"/>
      </w:pPr>
      <w:r w:rsidRPr="00157E06">
        <w:t xml:space="preserve">En la actualidad existen 650 procesos de más de $20.000 millones con unas pretensiones de </w:t>
      </w:r>
      <w:r>
        <w:t>$</w:t>
      </w:r>
      <w:r w:rsidRPr="00157E06">
        <w:t>126.8 billones que equivalen a 66</w:t>
      </w:r>
      <w:r>
        <w:t xml:space="preserve">% </w:t>
      </w:r>
      <w:r w:rsidRPr="00157E06">
        <w:t xml:space="preserve">de las pretensiones en contra de la Nación. Los procesos con pretensiones de dicha cuantía están altamente concentrados en unos pocos sectores administrativos como se evidencia en la Tabla 3. Es importante resaltar que sólo el sector de Hacienda y Crédito Público tiene un quinto de los procesos y la mitad de las pretensiones. En gran parte la situación del sector se determina por litigios causados por falla del servicio por omisión en las funciones de inspección, vigilancia y control, para evitar la captación ilegal de dinero. Hasta el momento la totalidad de los fallos de procesos por captadoras ilegales de dinero han sido favorables para la Nación y de continuar con la tendencia el alivio fiscal es significativo ($54.4 billones). </w:t>
      </w:r>
    </w:p>
    <w:p w14:paraId="5B096D4B" w14:textId="77777777" w:rsidR="003B41C3" w:rsidRPr="00157E06" w:rsidRDefault="003B41C3" w:rsidP="003B41C3">
      <w:pPr>
        <w:ind w:right="-283"/>
        <w:jc w:val="both"/>
      </w:pPr>
      <w:r w:rsidRPr="00157E06">
        <w:lastRenderedPageBreak/>
        <w:t>De todos los sectores administrativos únicamente tres no registran procesos de más $20.000 millones (Deporte y Recreación, Empleo Público y Organismos Autónomos) y  sólo 11 de los sectores tienen menos de diez procesos con el orden de éstas pretensiones. Los 65</w:t>
      </w:r>
      <w:r>
        <w:t>0</w:t>
      </w:r>
      <w:r w:rsidRPr="00157E06">
        <w:t xml:space="preserve"> procesos están distribuidos por jurisdicción de la siguiente manera: 97% administrativa, 2.3% ordinaria y 0.3% constitucional, una repartición similar a la de la base general. En la sección de Anexos se encuentra el consolidado de las tablas presentadas en ésta sección para cada uno de los 33 sectores. </w:t>
      </w:r>
    </w:p>
    <w:p w14:paraId="13B2AB84" w14:textId="77777777" w:rsidR="003B41C3" w:rsidRPr="00157E06" w:rsidRDefault="003B41C3" w:rsidP="003B41C3">
      <w:pPr>
        <w:ind w:right="-283"/>
        <w:jc w:val="both"/>
      </w:pPr>
    </w:p>
    <w:p w14:paraId="486AB58D" w14:textId="77777777" w:rsidR="003B41C3" w:rsidRPr="00157E06" w:rsidRDefault="003B41C3" w:rsidP="003B41C3">
      <w:pPr>
        <w:jc w:val="center"/>
        <w:rPr>
          <w:b/>
          <w:sz w:val="20"/>
          <w:szCs w:val="20"/>
          <w:lang w:val="es-CO"/>
        </w:rPr>
      </w:pPr>
      <w:r w:rsidRPr="00157E06">
        <w:rPr>
          <w:b/>
          <w:sz w:val="20"/>
          <w:szCs w:val="20"/>
          <w:lang w:val="es-CO"/>
        </w:rPr>
        <w:t>Tabla 3. Valor de las pretensiones de los procesos activos en contra de la Nación</w:t>
      </w:r>
    </w:p>
    <w:tbl>
      <w:tblPr>
        <w:tblW w:w="9214" w:type="dxa"/>
        <w:jc w:val="center"/>
        <w:tblCellMar>
          <w:left w:w="0" w:type="dxa"/>
          <w:right w:w="0" w:type="dxa"/>
        </w:tblCellMar>
        <w:tblLook w:val="0600" w:firstRow="0" w:lastRow="0" w:firstColumn="0" w:lastColumn="0" w:noHBand="1" w:noVBand="1"/>
      </w:tblPr>
      <w:tblGrid>
        <w:gridCol w:w="297"/>
        <w:gridCol w:w="696"/>
        <w:gridCol w:w="2553"/>
        <w:gridCol w:w="707"/>
        <w:gridCol w:w="2268"/>
        <w:gridCol w:w="2693"/>
      </w:tblGrid>
      <w:tr w:rsidR="003B41C3" w:rsidRPr="004E6B03" w14:paraId="4A3334E7" w14:textId="77777777" w:rsidTr="003B41C3">
        <w:trPr>
          <w:trHeight w:val="170"/>
          <w:jc w:val="center"/>
        </w:trPr>
        <w:tc>
          <w:tcPr>
            <w:tcW w:w="297" w:type="dxa"/>
            <w:vMerge w:val="restart"/>
            <w:tcBorders>
              <w:top w:val="nil"/>
              <w:left w:val="nil"/>
              <w:bottom w:val="nil"/>
              <w:right w:val="nil"/>
            </w:tcBorders>
            <w:shd w:val="clear" w:color="auto" w:fill="548DD4" w:themeFill="text2" w:themeFillTint="99"/>
            <w:tcMar>
              <w:top w:w="15" w:type="dxa"/>
              <w:left w:w="15" w:type="dxa"/>
              <w:bottom w:w="0" w:type="dxa"/>
              <w:right w:w="15" w:type="dxa"/>
            </w:tcMar>
            <w:vAlign w:val="center"/>
            <w:hideMark/>
          </w:tcPr>
          <w:p w14:paraId="40C3D0D1" w14:textId="77777777" w:rsidR="003B41C3" w:rsidRPr="004E6B03" w:rsidRDefault="003B41C3" w:rsidP="003B41C3">
            <w:pPr>
              <w:spacing w:after="0"/>
              <w:rPr>
                <w:rFonts w:eastAsia="Times New Roman" w:cs="Times New Roman"/>
                <w:b/>
                <w:bCs/>
                <w:color w:val="FFFFFF"/>
                <w:sz w:val="16"/>
                <w:szCs w:val="16"/>
                <w:lang w:val="es-CO" w:eastAsia="es-CO"/>
              </w:rPr>
            </w:pPr>
          </w:p>
        </w:tc>
        <w:tc>
          <w:tcPr>
            <w:tcW w:w="3249" w:type="dxa"/>
            <w:gridSpan w:val="2"/>
            <w:vMerge w:val="restart"/>
            <w:tcBorders>
              <w:top w:val="nil"/>
              <w:left w:val="nil"/>
              <w:bottom w:val="nil"/>
              <w:right w:val="nil"/>
            </w:tcBorders>
            <w:shd w:val="clear" w:color="auto" w:fill="548DD4" w:themeFill="text2" w:themeFillTint="99"/>
            <w:tcMar>
              <w:top w:w="15" w:type="dxa"/>
              <w:left w:w="15" w:type="dxa"/>
              <w:bottom w:w="0" w:type="dxa"/>
              <w:right w:w="15" w:type="dxa"/>
            </w:tcMar>
            <w:vAlign w:val="center"/>
            <w:hideMark/>
          </w:tcPr>
          <w:p w14:paraId="332EBFAA"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No.                                                      Sector</w:t>
            </w:r>
          </w:p>
        </w:tc>
        <w:tc>
          <w:tcPr>
            <w:tcW w:w="2975" w:type="dxa"/>
            <w:gridSpan w:val="2"/>
            <w:tcBorders>
              <w:top w:val="nil"/>
              <w:left w:val="nil"/>
              <w:bottom w:val="nil"/>
              <w:right w:val="nil"/>
            </w:tcBorders>
            <w:shd w:val="clear" w:color="auto" w:fill="548DD4" w:themeFill="text2" w:themeFillTint="99"/>
            <w:vAlign w:val="bottom"/>
          </w:tcPr>
          <w:p w14:paraId="237B9927"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 xml:space="preserve">                            Procesos de más de 20.000  </w:t>
            </w:r>
          </w:p>
          <w:p w14:paraId="57AF3014"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 xml:space="preserve">                                                  millones(1)</w:t>
            </w:r>
          </w:p>
        </w:tc>
        <w:tc>
          <w:tcPr>
            <w:tcW w:w="2693" w:type="dxa"/>
            <w:tcBorders>
              <w:top w:val="nil"/>
              <w:left w:val="nil"/>
              <w:bottom w:val="nil"/>
              <w:right w:val="nil"/>
            </w:tcBorders>
            <w:shd w:val="clear" w:color="auto" w:fill="548DD4" w:themeFill="text2" w:themeFillTint="99"/>
            <w:vAlign w:val="bottom"/>
          </w:tcPr>
          <w:p w14:paraId="76D450F8"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 xml:space="preserve">                 Valor pretensiones (1)</w:t>
            </w:r>
          </w:p>
        </w:tc>
      </w:tr>
      <w:tr w:rsidR="003B41C3" w:rsidRPr="004E6B03" w14:paraId="431EC378" w14:textId="77777777" w:rsidTr="003B41C3">
        <w:trPr>
          <w:trHeight w:val="80"/>
          <w:jc w:val="center"/>
        </w:trPr>
        <w:tc>
          <w:tcPr>
            <w:tcW w:w="297" w:type="dxa"/>
            <w:vMerge/>
            <w:tcBorders>
              <w:top w:val="nil"/>
              <w:left w:val="nil"/>
              <w:bottom w:val="nil"/>
              <w:right w:val="nil"/>
            </w:tcBorders>
            <w:shd w:val="clear" w:color="auto" w:fill="548DD4" w:themeFill="text2" w:themeFillTint="99"/>
            <w:vAlign w:val="center"/>
            <w:hideMark/>
          </w:tcPr>
          <w:p w14:paraId="298150AB" w14:textId="77777777" w:rsidR="003B41C3" w:rsidRPr="004E6B03" w:rsidRDefault="003B41C3" w:rsidP="003B41C3">
            <w:pPr>
              <w:spacing w:after="0" w:line="259" w:lineRule="auto"/>
              <w:rPr>
                <w:rFonts w:ascii="Cambria" w:eastAsia="Times New Roman" w:hAnsi="Cambria" w:cs="Arial"/>
                <w:sz w:val="18"/>
                <w:szCs w:val="18"/>
                <w:lang w:val="es-CO" w:eastAsia="es-CO"/>
              </w:rPr>
            </w:pPr>
          </w:p>
        </w:tc>
        <w:tc>
          <w:tcPr>
            <w:tcW w:w="3249" w:type="dxa"/>
            <w:gridSpan w:val="2"/>
            <w:vMerge/>
            <w:tcBorders>
              <w:top w:val="nil"/>
              <w:left w:val="nil"/>
              <w:bottom w:val="nil"/>
              <w:right w:val="nil"/>
            </w:tcBorders>
            <w:shd w:val="clear" w:color="auto" w:fill="548DD4" w:themeFill="text2" w:themeFillTint="99"/>
            <w:vAlign w:val="center"/>
            <w:hideMark/>
          </w:tcPr>
          <w:p w14:paraId="61008649" w14:textId="77777777" w:rsidR="003B41C3" w:rsidRPr="004E6B03" w:rsidRDefault="003B41C3" w:rsidP="003B41C3">
            <w:pPr>
              <w:spacing w:after="0" w:line="259" w:lineRule="auto"/>
              <w:rPr>
                <w:rFonts w:ascii="Cambria" w:eastAsia="Times New Roman" w:hAnsi="Cambria" w:cs="Arial"/>
                <w:sz w:val="18"/>
                <w:szCs w:val="18"/>
                <w:lang w:val="es-CO" w:eastAsia="es-CO"/>
              </w:rPr>
            </w:pPr>
          </w:p>
        </w:tc>
        <w:tc>
          <w:tcPr>
            <w:tcW w:w="2975" w:type="dxa"/>
            <w:gridSpan w:val="2"/>
            <w:tcBorders>
              <w:top w:val="nil"/>
              <w:left w:val="nil"/>
              <w:bottom w:val="nil"/>
              <w:right w:val="nil"/>
            </w:tcBorders>
            <w:shd w:val="clear" w:color="auto" w:fill="548DD4" w:themeFill="text2" w:themeFillTint="99"/>
            <w:vAlign w:val="bottom"/>
          </w:tcPr>
          <w:p w14:paraId="6C2C9A60" w14:textId="77777777" w:rsidR="003B41C3" w:rsidRPr="004E6B03" w:rsidRDefault="003B41C3" w:rsidP="003B41C3">
            <w:pPr>
              <w:spacing w:after="0" w:line="259" w:lineRule="auto"/>
              <w:jc w:val="center"/>
              <w:textAlignment w:val="center"/>
              <w:rPr>
                <w:rFonts w:ascii="Cambria" w:eastAsia="Times New Roman" w:hAnsi="Cambria" w:cs="Arial"/>
                <w:b/>
                <w:bCs/>
                <w:color w:val="FFFFFF"/>
                <w:kern w:val="24"/>
                <w:sz w:val="18"/>
                <w:szCs w:val="18"/>
                <w:lang w:val="es-CO" w:eastAsia="es-CO"/>
              </w:rPr>
            </w:pPr>
          </w:p>
        </w:tc>
        <w:tc>
          <w:tcPr>
            <w:tcW w:w="2693" w:type="dxa"/>
            <w:tcBorders>
              <w:top w:val="nil"/>
              <w:left w:val="nil"/>
              <w:bottom w:val="nil"/>
              <w:right w:val="nil"/>
            </w:tcBorders>
            <w:shd w:val="clear" w:color="auto" w:fill="548DD4" w:themeFill="text2" w:themeFillTint="99"/>
            <w:vAlign w:val="bottom"/>
          </w:tcPr>
          <w:p w14:paraId="062B3862" w14:textId="77777777" w:rsidR="003B41C3" w:rsidRPr="004E6B03" w:rsidRDefault="003B41C3" w:rsidP="003B41C3">
            <w:pPr>
              <w:spacing w:after="0" w:line="259" w:lineRule="auto"/>
              <w:jc w:val="center"/>
              <w:textAlignment w:val="center"/>
              <w:rPr>
                <w:rFonts w:ascii="Cambria" w:eastAsia="Times New Roman" w:hAnsi="Cambria" w:cs="Arial"/>
                <w:b/>
                <w:bCs/>
                <w:color w:val="FFFFFF"/>
                <w:kern w:val="24"/>
                <w:sz w:val="18"/>
                <w:szCs w:val="18"/>
                <w:lang w:val="es-CO" w:eastAsia="es-CO"/>
              </w:rPr>
            </w:pPr>
          </w:p>
        </w:tc>
      </w:tr>
      <w:tr w:rsidR="003B41C3" w:rsidRPr="004E6B03" w14:paraId="7A871C0A" w14:textId="77777777" w:rsidTr="003B41C3">
        <w:trPr>
          <w:trHeight w:val="87"/>
          <w:jc w:val="center"/>
        </w:trPr>
        <w:tc>
          <w:tcPr>
            <w:tcW w:w="99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E3DB175" w14:textId="77777777" w:rsidR="003B41C3" w:rsidRPr="004E6B03" w:rsidRDefault="003B41C3" w:rsidP="003B41C3">
            <w:pPr>
              <w:spacing w:after="0" w:line="259" w:lineRule="auto"/>
              <w:jc w:val="center"/>
              <w:textAlignment w:val="center"/>
              <w:rPr>
                <w:rFonts w:ascii="Cambria" w:eastAsia="Times New Roman" w:hAnsi="Cambria" w:cs="Arial"/>
                <w:sz w:val="18"/>
                <w:szCs w:val="18"/>
                <w:lang w:val="es-CO" w:eastAsia="es-CO"/>
              </w:rPr>
            </w:pPr>
            <w:r w:rsidRPr="004E6B03">
              <w:rPr>
                <w:rFonts w:ascii="Cambria" w:eastAsia="Times New Roman" w:hAnsi="Cambria" w:cs="Arial"/>
                <w:color w:val="000000"/>
                <w:kern w:val="24"/>
                <w:sz w:val="18"/>
                <w:szCs w:val="18"/>
                <w:lang w:val="en-US" w:eastAsia="es-CO"/>
              </w:rPr>
              <w:t>1</w:t>
            </w:r>
          </w:p>
        </w:tc>
        <w:tc>
          <w:tcPr>
            <w:tcW w:w="3260" w:type="dxa"/>
            <w:gridSpan w:val="2"/>
            <w:tcBorders>
              <w:top w:val="nil"/>
              <w:left w:val="nil"/>
              <w:bottom w:val="nil"/>
              <w:right w:val="nil"/>
            </w:tcBorders>
            <w:shd w:val="clear" w:color="auto" w:fill="548DD4" w:themeFill="text2" w:themeFillTint="99"/>
            <w:tcMar>
              <w:top w:w="15" w:type="dxa"/>
              <w:left w:w="15" w:type="dxa"/>
              <w:bottom w:w="0" w:type="dxa"/>
              <w:right w:w="15" w:type="dxa"/>
            </w:tcMar>
            <w:vAlign w:val="bottom"/>
          </w:tcPr>
          <w:p w14:paraId="6FCD8754"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HACIENDA Y CRÉDITO PÚBLICO</w:t>
            </w:r>
          </w:p>
        </w:tc>
        <w:tc>
          <w:tcPr>
            <w:tcW w:w="2268" w:type="dxa"/>
            <w:tcBorders>
              <w:top w:val="nil"/>
              <w:left w:val="nil"/>
              <w:bottom w:val="dashed" w:sz="4" w:space="0" w:color="auto"/>
              <w:right w:val="nil"/>
            </w:tcBorders>
            <w:shd w:val="clear" w:color="auto" w:fill="auto"/>
            <w:vAlign w:val="center"/>
          </w:tcPr>
          <w:p w14:paraId="3ACD99B4" w14:textId="77777777" w:rsidR="003B41C3" w:rsidRPr="004E6B03" w:rsidRDefault="003B41C3" w:rsidP="003B41C3">
            <w:pPr>
              <w:spacing w:after="0" w:line="259" w:lineRule="auto"/>
              <w:jc w:val="center"/>
              <w:textAlignment w:val="center"/>
              <w:rPr>
                <w:rFonts w:ascii="Cambria" w:eastAsia="Calibri" w:hAnsi="Cambria" w:cs="Times New Roman"/>
                <w:sz w:val="18"/>
                <w:szCs w:val="18"/>
              </w:rPr>
            </w:pPr>
            <w:r w:rsidRPr="004E6B03">
              <w:rPr>
                <w:rFonts w:ascii="Cambria" w:eastAsia="Calibri" w:hAnsi="Cambria" w:cs="Times New Roman"/>
                <w:sz w:val="18"/>
                <w:szCs w:val="18"/>
                <w:lang w:val="es-CO"/>
              </w:rPr>
              <w:t>138</w:t>
            </w:r>
          </w:p>
        </w:tc>
        <w:tc>
          <w:tcPr>
            <w:tcW w:w="2693" w:type="dxa"/>
            <w:tcBorders>
              <w:top w:val="nil"/>
              <w:left w:val="nil"/>
              <w:bottom w:val="dashed" w:sz="4" w:space="0" w:color="auto"/>
              <w:right w:val="nil"/>
            </w:tcBorders>
            <w:shd w:val="clear" w:color="auto" w:fill="auto"/>
            <w:vAlign w:val="center"/>
          </w:tcPr>
          <w:p w14:paraId="7C8E4F5A" w14:textId="77777777" w:rsidR="003B41C3" w:rsidRPr="004E6B03" w:rsidRDefault="003B41C3" w:rsidP="003B41C3">
            <w:pPr>
              <w:spacing w:after="0" w:line="259" w:lineRule="auto"/>
              <w:jc w:val="center"/>
              <w:textAlignment w:val="center"/>
              <w:rPr>
                <w:rFonts w:ascii="Cambria" w:eastAsia="Times New Roman" w:hAnsi="Cambria" w:cs="Arial"/>
                <w:color w:val="000000"/>
                <w:kern w:val="24"/>
                <w:sz w:val="18"/>
                <w:szCs w:val="18"/>
                <w:lang w:val="en-US" w:eastAsia="es-CO"/>
              </w:rPr>
            </w:pPr>
            <w:r w:rsidRPr="004E6B03">
              <w:rPr>
                <w:rFonts w:ascii="Cambria" w:eastAsia="Calibri" w:hAnsi="Cambria" w:cs="Times New Roman"/>
                <w:color w:val="000000"/>
                <w:sz w:val="18"/>
                <w:szCs w:val="18"/>
                <w:lang w:val="es-CO"/>
              </w:rPr>
              <w:t>67.048.604.881.508</w:t>
            </w:r>
          </w:p>
        </w:tc>
      </w:tr>
      <w:tr w:rsidR="003B41C3" w:rsidRPr="004E6B03" w14:paraId="26BCB169" w14:textId="77777777" w:rsidTr="003B41C3">
        <w:trPr>
          <w:trHeight w:val="133"/>
          <w:jc w:val="center"/>
        </w:trPr>
        <w:tc>
          <w:tcPr>
            <w:tcW w:w="99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C4B9EA6" w14:textId="77777777" w:rsidR="003B41C3" w:rsidRPr="004E6B03" w:rsidRDefault="003B41C3" w:rsidP="003B41C3">
            <w:pPr>
              <w:spacing w:after="0" w:line="259" w:lineRule="auto"/>
              <w:jc w:val="center"/>
              <w:textAlignment w:val="center"/>
              <w:rPr>
                <w:rFonts w:ascii="Cambria" w:eastAsia="Times New Roman" w:hAnsi="Cambria" w:cs="Arial"/>
                <w:sz w:val="18"/>
                <w:szCs w:val="18"/>
                <w:lang w:val="es-CO" w:eastAsia="es-CO"/>
              </w:rPr>
            </w:pPr>
            <w:r w:rsidRPr="004E6B03">
              <w:rPr>
                <w:rFonts w:ascii="Cambria" w:eastAsia="Times New Roman" w:hAnsi="Cambria" w:cs="Arial"/>
                <w:color w:val="000000"/>
                <w:kern w:val="24"/>
                <w:sz w:val="18"/>
                <w:szCs w:val="18"/>
                <w:lang w:val="en-US" w:eastAsia="es-CO"/>
              </w:rPr>
              <w:t>2</w:t>
            </w:r>
          </w:p>
        </w:tc>
        <w:tc>
          <w:tcPr>
            <w:tcW w:w="3260" w:type="dxa"/>
            <w:gridSpan w:val="2"/>
            <w:tcBorders>
              <w:top w:val="nil"/>
              <w:left w:val="nil"/>
              <w:bottom w:val="nil"/>
              <w:right w:val="nil"/>
            </w:tcBorders>
            <w:shd w:val="clear" w:color="auto" w:fill="548DD4" w:themeFill="text2" w:themeFillTint="99"/>
            <w:tcMar>
              <w:top w:w="15" w:type="dxa"/>
              <w:left w:w="15" w:type="dxa"/>
              <w:bottom w:w="0" w:type="dxa"/>
              <w:right w:w="15" w:type="dxa"/>
            </w:tcMar>
            <w:vAlign w:val="bottom"/>
          </w:tcPr>
          <w:p w14:paraId="6C12193F"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DEFENSA NACIONAL</w:t>
            </w:r>
          </w:p>
        </w:tc>
        <w:tc>
          <w:tcPr>
            <w:tcW w:w="2268" w:type="dxa"/>
            <w:tcBorders>
              <w:top w:val="dashed" w:sz="4" w:space="0" w:color="auto"/>
              <w:left w:val="nil"/>
              <w:bottom w:val="dashed" w:sz="4" w:space="0" w:color="auto"/>
              <w:right w:val="nil"/>
            </w:tcBorders>
            <w:shd w:val="clear" w:color="auto" w:fill="auto"/>
            <w:vAlign w:val="center"/>
          </w:tcPr>
          <w:p w14:paraId="0D5F8904" w14:textId="77777777" w:rsidR="003B41C3" w:rsidRPr="004E6B03" w:rsidRDefault="003B41C3" w:rsidP="003B41C3">
            <w:pPr>
              <w:spacing w:after="0" w:line="259" w:lineRule="auto"/>
              <w:jc w:val="center"/>
              <w:textAlignment w:val="top"/>
              <w:rPr>
                <w:rFonts w:ascii="Cambria" w:eastAsia="Calibri" w:hAnsi="Cambria" w:cs="Times New Roman"/>
                <w:sz w:val="18"/>
                <w:szCs w:val="18"/>
              </w:rPr>
            </w:pPr>
            <w:r w:rsidRPr="004E6B03">
              <w:rPr>
                <w:rFonts w:ascii="Cambria" w:eastAsia="Calibri" w:hAnsi="Cambria" w:cs="Times New Roman"/>
                <w:sz w:val="18"/>
                <w:szCs w:val="18"/>
                <w:lang w:val="es-CO"/>
              </w:rPr>
              <w:t>95</w:t>
            </w:r>
          </w:p>
        </w:tc>
        <w:tc>
          <w:tcPr>
            <w:tcW w:w="2693" w:type="dxa"/>
            <w:tcBorders>
              <w:top w:val="dashed" w:sz="4" w:space="0" w:color="auto"/>
              <w:left w:val="nil"/>
              <w:bottom w:val="dashed" w:sz="4" w:space="0" w:color="auto"/>
              <w:right w:val="nil"/>
            </w:tcBorders>
            <w:shd w:val="clear" w:color="auto" w:fill="auto"/>
            <w:vAlign w:val="center"/>
          </w:tcPr>
          <w:p w14:paraId="25180D23" w14:textId="77777777" w:rsidR="003B41C3" w:rsidRPr="004E6B03" w:rsidRDefault="003B41C3" w:rsidP="003B41C3">
            <w:pPr>
              <w:spacing w:after="0" w:line="259" w:lineRule="auto"/>
              <w:jc w:val="center"/>
              <w:textAlignment w:val="top"/>
              <w:rPr>
                <w:rFonts w:ascii="Cambria" w:eastAsia="Times New Roman" w:hAnsi="Cambria" w:cs="Arial"/>
                <w:color w:val="000000"/>
                <w:kern w:val="24"/>
                <w:sz w:val="18"/>
                <w:szCs w:val="18"/>
                <w:lang w:val="en-US" w:eastAsia="es-CO"/>
              </w:rPr>
            </w:pPr>
            <w:r w:rsidRPr="004E6B03">
              <w:rPr>
                <w:rFonts w:ascii="Cambria" w:eastAsia="Calibri" w:hAnsi="Cambria" w:cs="Times New Roman"/>
                <w:color w:val="000000"/>
                <w:sz w:val="18"/>
                <w:szCs w:val="18"/>
                <w:lang w:val="es-CO"/>
              </w:rPr>
              <w:t>13.324.046.277.233</w:t>
            </w:r>
          </w:p>
        </w:tc>
      </w:tr>
      <w:tr w:rsidR="003B41C3" w:rsidRPr="004E6B03" w14:paraId="0D36FE8D" w14:textId="77777777" w:rsidTr="003B41C3">
        <w:trPr>
          <w:trHeight w:val="170"/>
          <w:jc w:val="center"/>
        </w:trPr>
        <w:tc>
          <w:tcPr>
            <w:tcW w:w="99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FEEDDBD" w14:textId="77777777" w:rsidR="003B41C3" w:rsidRPr="004E6B03" w:rsidRDefault="003B41C3" w:rsidP="003B41C3">
            <w:pPr>
              <w:spacing w:after="0" w:line="259" w:lineRule="auto"/>
              <w:jc w:val="center"/>
              <w:textAlignment w:val="center"/>
              <w:rPr>
                <w:rFonts w:ascii="Cambria" w:eastAsia="Times New Roman" w:hAnsi="Cambria" w:cs="Arial"/>
                <w:sz w:val="18"/>
                <w:szCs w:val="18"/>
                <w:lang w:val="es-CO" w:eastAsia="es-CO"/>
              </w:rPr>
            </w:pPr>
            <w:r w:rsidRPr="004E6B03">
              <w:rPr>
                <w:rFonts w:ascii="Cambria" w:eastAsia="Times New Roman" w:hAnsi="Cambria" w:cs="Arial"/>
                <w:color w:val="000000"/>
                <w:kern w:val="24"/>
                <w:sz w:val="18"/>
                <w:szCs w:val="18"/>
                <w:lang w:val="en-US" w:eastAsia="es-CO"/>
              </w:rPr>
              <w:t>3</w:t>
            </w:r>
          </w:p>
        </w:tc>
        <w:tc>
          <w:tcPr>
            <w:tcW w:w="3260" w:type="dxa"/>
            <w:gridSpan w:val="2"/>
            <w:tcBorders>
              <w:top w:val="nil"/>
              <w:left w:val="nil"/>
              <w:bottom w:val="nil"/>
              <w:right w:val="nil"/>
            </w:tcBorders>
            <w:shd w:val="clear" w:color="auto" w:fill="548DD4" w:themeFill="text2" w:themeFillTint="99"/>
            <w:tcMar>
              <w:top w:w="15" w:type="dxa"/>
              <w:left w:w="15" w:type="dxa"/>
              <w:bottom w:w="0" w:type="dxa"/>
              <w:right w:w="15" w:type="dxa"/>
            </w:tcMar>
            <w:vAlign w:val="bottom"/>
          </w:tcPr>
          <w:p w14:paraId="79BD7845"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MINAS Y ENERGÍA</w:t>
            </w:r>
          </w:p>
        </w:tc>
        <w:tc>
          <w:tcPr>
            <w:tcW w:w="2268" w:type="dxa"/>
            <w:tcBorders>
              <w:top w:val="dashed" w:sz="4" w:space="0" w:color="auto"/>
              <w:left w:val="nil"/>
              <w:bottom w:val="dashed" w:sz="4" w:space="0" w:color="auto"/>
              <w:right w:val="nil"/>
            </w:tcBorders>
            <w:shd w:val="clear" w:color="auto" w:fill="auto"/>
            <w:vAlign w:val="center"/>
          </w:tcPr>
          <w:p w14:paraId="74BBDC62" w14:textId="77777777" w:rsidR="003B41C3" w:rsidRPr="004E6B03" w:rsidRDefault="003B41C3" w:rsidP="003B41C3">
            <w:pPr>
              <w:spacing w:after="0" w:line="259" w:lineRule="auto"/>
              <w:jc w:val="center"/>
              <w:textAlignment w:val="top"/>
              <w:rPr>
                <w:rFonts w:ascii="Cambria" w:eastAsia="Calibri" w:hAnsi="Cambria" w:cs="Times New Roman"/>
                <w:sz w:val="18"/>
                <w:szCs w:val="18"/>
              </w:rPr>
            </w:pPr>
            <w:r w:rsidRPr="004E6B03">
              <w:rPr>
                <w:rFonts w:ascii="Cambria" w:eastAsia="Calibri" w:hAnsi="Cambria" w:cs="Times New Roman"/>
                <w:sz w:val="18"/>
                <w:szCs w:val="18"/>
                <w:lang w:val="es-CO"/>
              </w:rPr>
              <w:t>78</w:t>
            </w:r>
          </w:p>
        </w:tc>
        <w:tc>
          <w:tcPr>
            <w:tcW w:w="2693" w:type="dxa"/>
            <w:tcBorders>
              <w:top w:val="dashed" w:sz="4" w:space="0" w:color="auto"/>
              <w:left w:val="nil"/>
              <w:bottom w:val="dashed" w:sz="4" w:space="0" w:color="auto"/>
              <w:right w:val="nil"/>
            </w:tcBorders>
            <w:shd w:val="clear" w:color="auto" w:fill="auto"/>
            <w:vAlign w:val="center"/>
          </w:tcPr>
          <w:p w14:paraId="66029C67" w14:textId="77777777" w:rsidR="003B41C3" w:rsidRPr="004E6B03" w:rsidRDefault="003B41C3" w:rsidP="003B41C3">
            <w:pPr>
              <w:spacing w:after="0" w:line="259" w:lineRule="auto"/>
              <w:jc w:val="center"/>
              <w:textAlignment w:val="top"/>
              <w:rPr>
                <w:rFonts w:ascii="Cambria" w:eastAsia="Times New Roman" w:hAnsi="Cambria" w:cs="Arial"/>
                <w:color w:val="000000"/>
                <w:kern w:val="24"/>
                <w:sz w:val="18"/>
                <w:szCs w:val="18"/>
                <w:lang w:val="en-US" w:eastAsia="es-CO"/>
              </w:rPr>
            </w:pPr>
            <w:r w:rsidRPr="004E6B03">
              <w:rPr>
                <w:rFonts w:ascii="Cambria" w:eastAsia="Calibri" w:hAnsi="Cambria" w:cs="Times New Roman"/>
                <w:color w:val="000000"/>
                <w:sz w:val="18"/>
                <w:szCs w:val="18"/>
                <w:lang w:val="es-CO"/>
              </w:rPr>
              <w:t>13.906.126.854.090</w:t>
            </w:r>
          </w:p>
        </w:tc>
      </w:tr>
      <w:tr w:rsidR="003B41C3" w:rsidRPr="004E6B03" w14:paraId="7BBDE380" w14:textId="77777777" w:rsidTr="003B41C3">
        <w:trPr>
          <w:trHeight w:val="170"/>
          <w:jc w:val="center"/>
        </w:trPr>
        <w:tc>
          <w:tcPr>
            <w:tcW w:w="99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1D0269D" w14:textId="77777777" w:rsidR="003B41C3" w:rsidRPr="004E6B03" w:rsidRDefault="003B41C3" w:rsidP="003B41C3">
            <w:pPr>
              <w:spacing w:after="0" w:line="259" w:lineRule="auto"/>
              <w:jc w:val="center"/>
              <w:textAlignment w:val="center"/>
              <w:rPr>
                <w:rFonts w:ascii="Cambria" w:eastAsia="Times New Roman" w:hAnsi="Cambria" w:cs="Arial"/>
                <w:sz w:val="18"/>
                <w:szCs w:val="18"/>
                <w:lang w:val="es-CO" w:eastAsia="es-CO"/>
              </w:rPr>
            </w:pPr>
            <w:r w:rsidRPr="004E6B03">
              <w:rPr>
                <w:rFonts w:ascii="Cambria" w:eastAsia="Times New Roman" w:hAnsi="Cambria" w:cs="Arial"/>
                <w:color w:val="000000"/>
                <w:kern w:val="24"/>
                <w:sz w:val="18"/>
                <w:szCs w:val="18"/>
                <w:lang w:val="en-US" w:eastAsia="es-CO"/>
              </w:rPr>
              <w:t>4</w:t>
            </w:r>
          </w:p>
        </w:tc>
        <w:tc>
          <w:tcPr>
            <w:tcW w:w="3260" w:type="dxa"/>
            <w:gridSpan w:val="2"/>
            <w:tcBorders>
              <w:top w:val="nil"/>
              <w:left w:val="nil"/>
              <w:bottom w:val="nil"/>
              <w:right w:val="nil"/>
            </w:tcBorders>
            <w:shd w:val="clear" w:color="auto" w:fill="548DD4" w:themeFill="text2" w:themeFillTint="99"/>
            <w:tcMar>
              <w:top w:w="15" w:type="dxa"/>
              <w:left w:w="15" w:type="dxa"/>
              <w:bottom w:w="0" w:type="dxa"/>
              <w:right w:w="15" w:type="dxa"/>
            </w:tcMar>
            <w:vAlign w:val="bottom"/>
          </w:tcPr>
          <w:p w14:paraId="79662222"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FISCALIA</w:t>
            </w:r>
          </w:p>
        </w:tc>
        <w:tc>
          <w:tcPr>
            <w:tcW w:w="2268" w:type="dxa"/>
            <w:tcBorders>
              <w:top w:val="dashed" w:sz="4" w:space="0" w:color="auto"/>
              <w:left w:val="nil"/>
              <w:bottom w:val="dashed" w:sz="4" w:space="0" w:color="auto"/>
              <w:right w:val="nil"/>
            </w:tcBorders>
            <w:shd w:val="clear" w:color="auto" w:fill="auto"/>
            <w:vAlign w:val="center"/>
          </w:tcPr>
          <w:p w14:paraId="5E386F08" w14:textId="77777777" w:rsidR="003B41C3" w:rsidRPr="004E6B03" w:rsidRDefault="003B41C3" w:rsidP="003B41C3">
            <w:pPr>
              <w:spacing w:after="0" w:line="259" w:lineRule="auto"/>
              <w:jc w:val="center"/>
              <w:textAlignment w:val="top"/>
              <w:rPr>
                <w:rFonts w:ascii="Cambria" w:eastAsia="Calibri" w:hAnsi="Cambria" w:cs="Times New Roman"/>
                <w:sz w:val="18"/>
                <w:szCs w:val="18"/>
              </w:rPr>
            </w:pPr>
            <w:r w:rsidRPr="004E6B03">
              <w:rPr>
                <w:rFonts w:ascii="Cambria" w:eastAsia="Calibri" w:hAnsi="Cambria" w:cs="Times New Roman"/>
                <w:sz w:val="18"/>
                <w:szCs w:val="18"/>
                <w:lang w:val="es-CO"/>
              </w:rPr>
              <w:t>74</w:t>
            </w:r>
          </w:p>
        </w:tc>
        <w:tc>
          <w:tcPr>
            <w:tcW w:w="2693" w:type="dxa"/>
            <w:tcBorders>
              <w:top w:val="dashed" w:sz="4" w:space="0" w:color="auto"/>
              <w:left w:val="nil"/>
              <w:bottom w:val="dashed" w:sz="4" w:space="0" w:color="auto"/>
              <w:right w:val="nil"/>
            </w:tcBorders>
            <w:shd w:val="clear" w:color="auto" w:fill="auto"/>
            <w:vAlign w:val="center"/>
          </w:tcPr>
          <w:p w14:paraId="36086956" w14:textId="77777777" w:rsidR="003B41C3" w:rsidRPr="004E6B03" w:rsidRDefault="003B41C3" w:rsidP="003B41C3">
            <w:pPr>
              <w:spacing w:after="0" w:line="259" w:lineRule="auto"/>
              <w:jc w:val="center"/>
              <w:textAlignment w:val="top"/>
              <w:rPr>
                <w:rFonts w:ascii="Cambria" w:eastAsia="Times New Roman" w:hAnsi="Cambria" w:cs="Arial"/>
                <w:color w:val="000000"/>
                <w:kern w:val="24"/>
                <w:sz w:val="18"/>
                <w:szCs w:val="18"/>
                <w:lang w:val="en-US" w:eastAsia="es-CO"/>
              </w:rPr>
            </w:pPr>
            <w:r w:rsidRPr="004E6B03">
              <w:rPr>
                <w:rFonts w:ascii="Cambria" w:eastAsia="Calibri" w:hAnsi="Cambria" w:cs="Times New Roman"/>
                <w:color w:val="000000"/>
                <w:sz w:val="18"/>
                <w:szCs w:val="18"/>
                <w:lang w:val="es-CO"/>
              </w:rPr>
              <w:t>19.918.097.575.727</w:t>
            </w:r>
          </w:p>
        </w:tc>
      </w:tr>
      <w:tr w:rsidR="003B41C3" w:rsidRPr="004E6B03" w14:paraId="4056F5DF" w14:textId="77777777" w:rsidTr="003B41C3">
        <w:trPr>
          <w:trHeight w:val="170"/>
          <w:jc w:val="center"/>
        </w:trPr>
        <w:tc>
          <w:tcPr>
            <w:tcW w:w="99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ECDAED8" w14:textId="77777777" w:rsidR="003B41C3" w:rsidRPr="004E6B03" w:rsidRDefault="003B41C3" w:rsidP="003B41C3">
            <w:pPr>
              <w:spacing w:after="0" w:line="259" w:lineRule="auto"/>
              <w:jc w:val="center"/>
              <w:textAlignment w:val="center"/>
              <w:rPr>
                <w:rFonts w:ascii="Cambria" w:eastAsia="Times New Roman" w:hAnsi="Cambria" w:cs="Arial"/>
                <w:sz w:val="18"/>
                <w:szCs w:val="18"/>
                <w:lang w:val="es-CO" w:eastAsia="es-CO"/>
              </w:rPr>
            </w:pPr>
            <w:r w:rsidRPr="004E6B03">
              <w:rPr>
                <w:rFonts w:ascii="Cambria" w:eastAsia="Times New Roman" w:hAnsi="Cambria" w:cs="Arial"/>
                <w:color w:val="000000"/>
                <w:kern w:val="24"/>
                <w:sz w:val="18"/>
                <w:szCs w:val="18"/>
                <w:lang w:val="en-US" w:eastAsia="es-CO"/>
              </w:rPr>
              <w:t>5</w:t>
            </w:r>
          </w:p>
        </w:tc>
        <w:tc>
          <w:tcPr>
            <w:tcW w:w="3260" w:type="dxa"/>
            <w:gridSpan w:val="2"/>
            <w:tcBorders>
              <w:top w:val="nil"/>
              <w:left w:val="nil"/>
              <w:bottom w:val="nil"/>
              <w:right w:val="nil"/>
            </w:tcBorders>
            <w:shd w:val="clear" w:color="auto" w:fill="548DD4" w:themeFill="text2" w:themeFillTint="99"/>
            <w:tcMar>
              <w:top w:w="15" w:type="dxa"/>
              <w:left w:w="15" w:type="dxa"/>
              <w:bottom w:w="0" w:type="dxa"/>
              <w:right w:w="15" w:type="dxa"/>
            </w:tcMar>
            <w:vAlign w:val="bottom"/>
          </w:tcPr>
          <w:p w14:paraId="73B96C5B"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PRESIDENCIA DE LA REPUBLICA</w:t>
            </w:r>
          </w:p>
        </w:tc>
        <w:tc>
          <w:tcPr>
            <w:tcW w:w="2268" w:type="dxa"/>
            <w:tcBorders>
              <w:top w:val="dashed" w:sz="4" w:space="0" w:color="auto"/>
              <w:left w:val="nil"/>
              <w:bottom w:val="dashed" w:sz="4" w:space="0" w:color="auto"/>
            </w:tcBorders>
            <w:shd w:val="clear" w:color="auto" w:fill="auto"/>
            <w:vAlign w:val="center"/>
          </w:tcPr>
          <w:p w14:paraId="2B7EE1BC" w14:textId="77777777" w:rsidR="003B41C3" w:rsidRPr="004E6B03" w:rsidRDefault="003B41C3" w:rsidP="003B41C3">
            <w:pPr>
              <w:spacing w:after="0" w:line="259" w:lineRule="auto"/>
              <w:jc w:val="center"/>
              <w:textAlignment w:val="top"/>
              <w:rPr>
                <w:rFonts w:ascii="Cambria" w:eastAsia="Calibri" w:hAnsi="Cambria" w:cs="Times New Roman"/>
                <w:sz w:val="18"/>
                <w:szCs w:val="18"/>
              </w:rPr>
            </w:pPr>
            <w:r w:rsidRPr="004E6B03">
              <w:rPr>
                <w:rFonts w:ascii="Cambria" w:eastAsia="Calibri" w:hAnsi="Cambria" w:cs="Times New Roman"/>
                <w:sz w:val="18"/>
                <w:szCs w:val="18"/>
                <w:lang w:val="es-CO"/>
              </w:rPr>
              <w:t>63</w:t>
            </w:r>
          </w:p>
        </w:tc>
        <w:tc>
          <w:tcPr>
            <w:tcW w:w="2693" w:type="dxa"/>
            <w:tcBorders>
              <w:top w:val="dashed" w:sz="4" w:space="0" w:color="auto"/>
              <w:bottom w:val="dashed" w:sz="4" w:space="0" w:color="auto"/>
              <w:right w:val="nil"/>
            </w:tcBorders>
            <w:shd w:val="clear" w:color="auto" w:fill="auto"/>
            <w:vAlign w:val="center"/>
          </w:tcPr>
          <w:p w14:paraId="3DA6BABF" w14:textId="77777777" w:rsidR="003B41C3" w:rsidRPr="004E6B03" w:rsidRDefault="003B41C3" w:rsidP="003B41C3">
            <w:pPr>
              <w:spacing w:after="0" w:line="259" w:lineRule="auto"/>
              <w:jc w:val="center"/>
              <w:textAlignment w:val="top"/>
              <w:rPr>
                <w:rFonts w:ascii="Cambria" w:eastAsia="Times New Roman" w:hAnsi="Cambria" w:cs="Arial"/>
                <w:color w:val="000000"/>
                <w:kern w:val="24"/>
                <w:sz w:val="18"/>
                <w:szCs w:val="18"/>
                <w:lang w:val="en-US" w:eastAsia="es-CO"/>
              </w:rPr>
            </w:pPr>
            <w:r w:rsidRPr="004E6B03">
              <w:rPr>
                <w:rFonts w:ascii="Cambria" w:eastAsia="Calibri" w:hAnsi="Cambria" w:cs="Times New Roman"/>
                <w:color w:val="000000"/>
                <w:sz w:val="18"/>
                <w:szCs w:val="18"/>
                <w:lang w:val="es-CO"/>
              </w:rPr>
              <w:t>23.903.962.638.327</w:t>
            </w:r>
          </w:p>
        </w:tc>
      </w:tr>
      <w:tr w:rsidR="003B41C3" w:rsidRPr="004E6B03" w14:paraId="1BC3755E" w14:textId="77777777" w:rsidTr="003B41C3">
        <w:trPr>
          <w:trHeight w:val="160"/>
          <w:jc w:val="center"/>
        </w:trPr>
        <w:tc>
          <w:tcPr>
            <w:tcW w:w="99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3234699" w14:textId="77777777" w:rsidR="003B41C3" w:rsidRPr="004E6B03" w:rsidRDefault="003B41C3" w:rsidP="003B41C3">
            <w:pPr>
              <w:spacing w:after="0" w:line="259" w:lineRule="auto"/>
              <w:jc w:val="center"/>
              <w:textAlignment w:val="center"/>
              <w:rPr>
                <w:rFonts w:ascii="Cambria" w:eastAsia="Times New Roman" w:hAnsi="Cambria" w:cs="Arial"/>
                <w:sz w:val="18"/>
                <w:szCs w:val="18"/>
                <w:lang w:val="es-CO" w:eastAsia="es-CO"/>
              </w:rPr>
            </w:pPr>
            <w:r w:rsidRPr="004E6B03">
              <w:rPr>
                <w:rFonts w:ascii="Cambria" w:eastAsia="Times New Roman" w:hAnsi="Cambria" w:cs="Arial"/>
                <w:color w:val="000000"/>
                <w:kern w:val="24"/>
                <w:sz w:val="18"/>
                <w:szCs w:val="18"/>
                <w:lang w:val="en-US" w:eastAsia="es-CO"/>
              </w:rPr>
              <w:t>6</w:t>
            </w:r>
          </w:p>
        </w:tc>
        <w:tc>
          <w:tcPr>
            <w:tcW w:w="3260" w:type="dxa"/>
            <w:gridSpan w:val="2"/>
            <w:tcBorders>
              <w:top w:val="nil"/>
              <w:left w:val="nil"/>
              <w:bottom w:val="nil"/>
              <w:right w:val="nil"/>
            </w:tcBorders>
            <w:shd w:val="clear" w:color="auto" w:fill="548DD4" w:themeFill="text2" w:themeFillTint="99"/>
            <w:tcMar>
              <w:top w:w="15" w:type="dxa"/>
              <w:left w:w="15" w:type="dxa"/>
              <w:bottom w:w="0" w:type="dxa"/>
              <w:right w:w="15" w:type="dxa"/>
            </w:tcMar>
            <w:vAlign w:val="bottom"/>
          </w:tcPr>
          <w:p w14:paraId="5B584C93"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COMERCIO, INDUSTRIA Y TURISMO</w:t>
            </w:r>
          </w:p>
        </w:tc>
        <w:tc>
          <w:tcPr>
            <w:tcW w:w="2268" w:type="dxa"/>
            <w:tcBorders>
              <w:top w:val="dashed" w:sz="4" w:space="0" w:color="auto"/>
              <w:left w:val="nil"/>
              <w:bottom w:val="dashed" w:sz="4" w:space="0" w:color="auto"/>
            </w:tcBorders>
            <w:shd w:val="clear" w:color="auto" w:fill="auto"/>
            <w:vAlign w:val="center"/>
          </w:tcPr>
          <w:p w14:paraId="657E79F1" w14:textId="77777777" w:rsidR="003B41C3" w:rsidRPr="004E6B03" w:rsidRDefault="003B41C3" w:rsidP="003B41C3">
            <w:pPr>
              <w:spacing w:after="0" w:line="259" w:lineRule="auto"/>
              <w:jc w:val="center"/>
              <w:textAlignment w:val="top"/>
              <w:rPr>
                <w:rFonts w:ascii="Cambria" w:eastAsia="Calibri" w:hAnsi="Cambria" w:cs="Times New Roman"/>
                <w:sz w:val="18"/>
                <w:szCs w:val="18"/>
              </w:rPr>
            </w:pPr>
            <w:r w:rsidRPr="004E6B03">
              <w:rPr>
                <w:rFonts w:ascii="Cambria" w:eastAsia="Calibri" w:hAnsi="Cambria" w:cs="Times New Roman"/>
                <w:sz w:val="18"/>
                <w:szCs w:val="18"/>
                <w:lang w:val="es-CO"/>
              </w:rPr>
              <w:t>63</w:t>
            </w:r>
          </w:p>
        </w:tc>
        <w:tc>
          <w:tcPr>
            <w:tcW w:w="2693" w:type="dxa"/>
            <w:tcBorders>
              <w:top w:val="dashed" w:sz="4" w:space="0" w:color="auto"/>
              <w:bottom w:val="dashed" w:sz="4" w:space="0" w:color="auto"/>
              <w:right w:val="nil"/>
            </w:tcBorders>
            <w:shd w:val="clear" w:color="auto" w:fill="auto"/>
            <w:vAlign w:val="center"/>
          </w:tcPr>
          <w:p w14:paraId="40190AE3" w14:textId="77777777" w:rsidR="003B41C3" w:rsidRPr="004E6B03" w:rsidRDefault="003B41C3" w:rsidP="003B41C3">
            <w:pPr>
              <w:spacing w:after="0" w:line="259" w:lineRule="auto"/>
              <w:jc w:val="center"/>
              <w:textAlignment w:val="top"/>
              <w:rPr>
                <w:rFonts w:ascii="Cambria" w:eastAsia="Times New Roman" w:hAnsi="Cambria" w:cs="Arial"/>
                <w:color w:val="000000"/>
                <w:kern w:val="24"/>
                <w:sz w:val="18"/>
                <w:szCs w:val="18"/>
                <w:lang w:val="en-US" w:eastAsia="es-CO"/>
              </w:rPr>
            </w:pPr>
            <w:r w:rsidRPr="004E6B03">
              <w:rPr>
                <w:rFonts w:ascii="Cambria" w:eastAsia="Calibri" w:hAnsi="Cambria" w:cs="Times New Roman"/>
                <w:color w:val="000000"/>
                <w:sz w:val="18"/>
                <w:szCs w:val="18"/>
                <w:lang w:val="es-CO"/>
              </w:rPr>
              <w:t>46.065.406.903.515</w:t>
            </w:r>
          </w:p>
        </w:tc>
      </w:tr>
      <w:tr w:rsidR="003B41C3" w:rsidRPr="004E6B03" w14:paraId="5C44DCE0" w14:textId="77777777" w:rsidTr="003B41C3">
        <w:trPr>
          <w:trHeight w:val="170"/>
          <w:jc w:val="center"/>
        </w:trPr>
        <w:tc>
          <w:tcPr>
            <w:tcW w:w="99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47A54E4" w14:textId="77777777" w:rsidR="003B41C3" w:rsidRPr="004E6B03" w:rsidRDefault="003B41C3" w:rsidP="003B41C3">
            <w:pPr>
              <w:spacing w:after="0" w:line="259" w:lineRule="auto"/>
              <w:jc w:val="center"/>
              <w:textAlignment w:val="center"/>
              <w:rPr>
                <w:rFonts w:ascii="Cambria" w:eastAsia="Times New Roman" w:hAnsi="Cambria" w:cs="Arial"/>
                <w:sz w:val="18"/>
                <w:szCs w:val="18"/>
                <w:lang w:val="es-CO" w:eastAsia="es-CO"/>
              </w:rPr>
            </w:pPr>
            <w:r w:rsidRPr="004E6B03">
              <w:rPr>
                <w:rFonts w:ascii="Cambria" w:eastAsia="Times New Roman" w:hAnsi="Cambria" w:cs="Arial"/>
                <w:color w:val="000000"/>
                <w:kern w:val="24"/>
                <w:sz w:val="18"/>
                <w:szCs w:val="18"/>
                <w:lang w:val="en-US" w:eastAsia="es-CO"/>
              </w:rPr>
              <w:t>7</w:t>
            </w:r>
          </w:p>
        </w:tc>
        <w:tc>
          <w:tcPr>
            <w:tcW w:w="3260" w:type="dxa"/>
            <w:gridSpan w:val="2"/>
            <w:tcBorders>
              <w:top w:val="nil"/>
              <w:left w:val="nil"/>
              <w:bottom w:val="nil"/>
              <w:right w:val="nil"/>
            </w:tcBorders>
            <w:shd w:val="clear" w:color="auto" w:fill="548DD4" w:themeFill="text2" w:themeFillTint="99"/>
            <w:tcMar>
              <w:top w:w="15" w:type="dxa"/>
              <w:left w:w="15" w:type="dxa"/>
              <w:bottom w:w="0" w:type="dxa"/>
              <w:right w:w="15" w:type="dxa"/>
            </w:tcMar>
            <w:vAlign w:val="bottom"/>
          </w:tcPr>
          <w:p w14:paraId="54177C14"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TRANSPORTE</w:t>
            </w:r>
          </w:p>
        </w:tc>
        <w:tc>
          <w:tcPr>
            <w:tcW w:w="2268" w:type="dxa"/>
            <w:tcBorders>
              <w:top w:val="dashed" w:sz="4" w:space="0" w:color="auto"/>
              <w:left w:val="nil"/>
              <w:bottom w:val="dashed" w:sz="4" w:space="0" w:color="auto"/>
              <w:right w:val="nil"/>
            </w:tcBorders>
            <w:shd w:val="clear" w:color="auto" w:fill="auto"/>
            <w:vAlign w:val="center"/>
          </w:tcPr>
          <w:p w14:paraId="23FFEF86" w14:textId="77777777" w:rsidR="003B41C3" w:rsidRPr="004E6B03" w:rsidRDefault="003B41C3" w:rsidP="003B41C3">
            <w:pPr>
              <w:spacing w:after="0" w:line="259" w:lineRule="auto"/>
              <w:jc w:val="center"/>
              <w:textAlignment w:val="top"/>
              <w:rPr>
                <w:rFonts w:ascii="Cambria" w:eastAsia="Calibri" w:hAnsi="Cambria" w:cs="Times New Roman"/>
                <w:sz w:val="18"/>
                <w:szCs w:val="18"/>
              </w:rPr>
            </w:pPr>
            <w:r w:rsidRPr="004E6B03">
              <w:rPr>
                <w:rFonts w:ascii="Cambria" w:eastAsia="Calibri" w:hAnsi="Cambria" w:cs="Times New Roman"/>
                <w:sz w:val="18"/>
                <w:szCs w:val="18"/>
                <w:lang w:val="es-CO"/>
              </w:rPr>
              <w:t>63</w:t>
            </w:r>
          </w:p>
        </w:tc>
        <w:tc>
          <w:tcPr>
            <w:tcW w:w="2693" w:type="dxa"/>
            <w:tcBorders>
              <w:top w:val="dashed" w:sz="4" w:space="0" w:color="auto"/>
              <w:left w:val="nil"/>
              <w:bottom w:val="dashed" w:sz="4" w:space="0" w:color="auto"/>
              <w:right w:val="nil"/>
            </w:tcBorders>
            <w:shd w:val="clear" w:color="auto" w:fill="auto"/>
            <w:vAlign w:val="center"/>
          </w:tcPr>
          <w:p w14:paraId="2C949C81" w14:textId="77777777" w:rsidR="003B41C3" w:rsidRPr="004E6B03" w:rsidRDefault="003B41C3" w:rsidP="003B41C3">
            <w:pPr>
              <w:spacing w:after="0" w:line="259" w:lineRule="auto"/>
              <w:jc w:val="center"/>
              <w:textAlignment w:val="top"/>
              <w:rPr>
                <w:rFonts w:ascii="Cambria" w:eastAsia="Times New Roman" w:hAnsi="Cambria" w:cs="Arial"/>
                <w:color w:val="000000"/>
                <w:kern w:val="24"/>
                <w:sz w:val="18"/>
                <w:szCs w:val="18"/>
                <w:lang w:val="en-US" w:eastAsia="es-CO"/>
              </w:rPr>
            </w:pPr>
            <w:r w:rsidRPr="004E6B03">
              <w:rPr>
                <w:rFonts w:ascii="Cambria" w:eastAsia="Calibri" w:hAnsi="Cambria" w:cs="Times New Roman"/>
                <w:color w:val="000000"/>
                <w:sz w:val="18"/>
                <w:szCs w:val="18"/>
                <w:lang w:val="es-CO"/>
              </w:rPr>
              <w:t>13.205.015.186.445</w:t>
            </w:r>
          </w:p>
        </w:tc>
      </w:tr>
      <w:tr w:rsidR="003B41C3" w:rsidRPr="004E6B03" w14:paraId="67A431EE" w14:textId="77777777" w:rsidTr="003B41C3">
        <w:trPr>
          <w:trHeight w:val="170"/>
          <w:jc w:val="center"/>
        </w:trPr>
        <w:tc>
          <w:tcPr>
            <w:tcW w:w="99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8DA5950" w14:textId="77777777" w:rsidR="003B41C3" w:rsidRPr="004E6B03" w:rsidRDefault="003B41C3" w:rsidP="003B41C3">
            <w:pPr>
              <w:spacing w:after="0" w:line="259" w:lineRule="auto"/>
              <w:jc w:val="center"/>
              <w:textAlignment w:val="center"/>
              <w:rPr>
                <w:rFonts w:ascii="Cambria" w:eastAsia="Times New Roman" w:hAnsi="Cambria" w:cs="Arial"/>
                <w:sz w:val="18"/>
                <w:szCs w:val="18"/>
                <w:lang w:val="es-CO" w:eastAsia="es-CO"/>
              </w:rPr>
            </w:pPr>
            <w:r w:rsidRPr="004E6B03">
              <w:rPr>
                <w:rFonts w:ascii="Cambria" w:eastAsia="Times New Roman" w:hAnsi="Cambria" w:cs="Arial"/>
                <w:color w:val="000000"/>
                <w:kern w:val="24"/>
                <w:sz w:val="18"/>
                <w:szCs w:val="18"/>
                <w:lang w:val="en-US" w:eastAsia="es-CO"/>
              </w:rPr>
              <w:t>8</w:t>
            </w:r>
          </w:p>
        </w:tc>
        <w:tc>
          <w:tcPr>
            <w:tcW w:w="3260" w:type="dxa"/>
            <w:gridSpan w:val="2"/>
            <w:tcBorders>
              <w:top w:val="nil"/>
              <w:left w:val="nil"/>
              <w:bottom w:val="nil"/>
              <w:right w:val="nil"/>
            </w:tcBorders>
            <w:shd w:val="clear" w:color="auto" w:fill="548DD4" w:themeFill="text2" w:themeFillTint="99"/>
            <w:tcMar>
              <w:top w:w="15" w:type="dxa"/>
              <w:left w:w="15" w:type="dxa"/>
              <w:bottom w:w="0" w:type="dxa"/>
              <w:right w:w="15" w:type="dxa"/>
            </w:tcMar>
            <w:vAlign w:val="bottom"/>
          </w:tcPr>
          <w:p w14:paraId="4BA12708"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AMBIENTE Y DESARROLLO SOSTENIBLE</w:t>
            </w:r>
          </w:p>
        </w:tc>
        <w:tc>
          <w:tcPr>
            <w:tcW w:w="2268" w:type="dxa"/>
            <w:tcBorders>
              <w:top w:val="dashed" w:sz="4" w:space="0" w:color="auto"/>
              <w:left w:val="nil"/>
              <w:bottom w:val="dashed" w:sz="4" w:space="0" w:color="auto"/>
              <w:right w:val="nil"/>
            </w:tcBorders>
            <w:shd w:val="clear" w:color="auto" w:fill="auto"/>
            <w:vAlign w:val="center"/>
          </w:tcPr>
          <w:p w14:paraId="00633700" w14:textId="77777777" w:rsidR="003B41C3" w:rsidRPr="004E6B03" w:rsidRDefault="003B41C3" w:rsidP="003B41C3">
            <w:pPr>
              <w:spacing w:after="0" w:line="259" w:lineRule="auto"/>
              <w:jc w:val="center"/>
              <w:textAlignment w:val="top"/>
              <w:rPr>
                <w:rFonts w:ascii="Cambria" w:eastAsia="Calibri" w:hAnsi="Cambria" w:cs="Times New Roman"/>
                <w:sz w:val="18"/>
                <w:szCs w:val="18"/>
              </w:rPr>
            </w:pPr>
            <w:r w:rsidRPr="004E6B03">
              <w:rPr>
                <w:rFonts w:ascii="Cambria" w:eastAsia="Calibri" w:hAnsi="Cambria" w:cs="Times New Roman"/>
                <w:sz w:val="18"/>
                <w:szCs w:val="18"/>
                <w:lang w:val="es-CO"/>
              </w:rPr>
              <w:t>52</w:t>
            </w:r>
          </w:p>
        </w:tc>
        <w:tc>
          <w:tcPr>
            <w:tcW w:w="2693" w:type="dxa"/>
            <w:tcBorders>
              <w:top w:val="dashed" w:sz="4" w:space="0" w:color="auto"/>
              <w:left w:val="nil"/>
              <w:bottom w:val="dashed" w:sz="4" w:space="0" w:color="auto"/>
              <w:right w:val="nil"/>
            </w:tcBorders>
            <w:shd w:val="clear" w:color="auto" w:fill="auto"/>
            <w:vAlign w:val="center"/>
          </w:tcPr>
          <w:p w14:paraId="7941AD59" w14:textId="77777777" w:rsidR="003B41C3" w:rsidRPr="004E6B03" w:rsidRDefault="003B41C3" w:rsidP="003B41C3">
            <w:pPr>
              <w:spacing w:after="0" w:line="259" w:lineRule="auto"/>
              <w:jc w:val="center"/>
              <w:textAlignment w:val="top"/>
              <w:rPr>
                <w:rFonts w:ascii="Cambria" w:eastAsia="Times New Roman" w:hAnsi="Cambria" w:cs="Arial"/>
                <w:color w:val="000000"/>
                <w:kern w:val="24"/>
                <w:sz w:val="18"/>
                <w:szCs w:val="18"/>
                <w:lang w:val="en-US" w:eastAsia="es-CO"/>
              </w:rPr>
            </w:pPr>
            <w:r w:rsidRPr="004E6B03">
              <w:rPr>
                <w:rFonts w:ascii="Cambria" w:eastAsia="Calibri" w:hAnsi="Cambria" w:cs="Times New Roman"/>
                <w:color w:val="000000"/>
                <w:sz w:val="18"/>
                <w:szCs w:val="18"/>
                <w:lang w:val="es-CO"/>
              </w:rPr>
              <w:t>10.218.320.083.218</w:t>
            </w:r>
          </w:p>
        </w:tc>
      </w:tr>
      <w:tr w:rsidR="003B41C3" w:rsidRPr="004E6B03" w14:paraId="076D4E10" w14:textId="77777777" w:rsidTr="003B41C3">
        <w:trPr>
          <w:trHeight w:val="65"/>
          <w:jc w:val="center"/>
        </w:trPr>
        <w:tc>
          <w:tcPr>
            <w:tcW w:w="99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11C76C4" w14:textId="77777777" w:rsidR="003B41C3" w:rsidRPr="004E6B03" w:rsidRDefault="003B41C3" w:rsidP="003B41C3">
            <w:pPr>
              <w:spacing w:after="0" w:line="259" w:lineRule="auto"/>
              <w:jc w:val="center"/>
              <w:textAlignment w:val="center"/>
              <w:rPr>
                <w:rFonts w:ascii="Cambria" w:eastAsia="Times New Roman" w:hAnsi="Cambria" w:cs="Arial"/>
                <w:sz w:val="18"/>
                <w:szCs w:val="18"/>
                <w:lang w:val="es-CO" w:eastAsia="es-CO"/>
              </w:rPr>
            </w:pPr>
            <w:r w:rsidRPr="004E6B03">
              <w:rPr>
                <w:rFonts w:ascii="Cambria" w:eastAsia="Times New Roman" w:hAnsi="Cambria" w:cs="Arial"/>
                <w:color w:val="000000"/>
                <w:kern w:val="24"/>
                <w:sz w:val="18"/>
                <w:szCs w:val="18"/>
                <w:lang w:val="en-US" w:eastAsia="es-CO"/>
              </w:rPr>
              <w:t>9</w:t>
            </w:r>
          </w:p>
        </w:tc>
        <w:tc>
          <w:tcPr>
            <w:tcW w:w="3260" w:type="dxa"/>
            <w:gridSpan w:val="2"/>
            <w:tcBorders>
              <w:top w:val="nil"/>
              <w:left w:val="nil"/>
              <w:bottom w:val="nil"/>
              <w:right w:val="nil"/>
            </w:tcBorders>
            <w:shd w:val="clear" w:color="auto" w:fill="548DD4" w:themeFill="text2" w:themeFillTint="99"/>
            <w:tcMar>
              <w:top w:w="15" w:type="dxa"/>
              <w:left w:w="15" w:type="dxa"/>
              <w:bottom w:w="0" w:type="dxa"/>
              <w:right w:w="15" w:type="dxa"/>
            </w:tcMar>
            <w:vAlign w:val="bottom"/>
          </w:tcPr>
          <w:p w14:paraId="5C0507FB"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RAMA JUDICIAL</w:t>
            </w:r>
          </w:p>
        </w:tc>
        <w:tc>
          <w:tcPr>
            <w:tcW w:w="2268" w:type="dxa"/>
            <w:tcBorders>
              <w:top w:val="dashed" w:sz="4" w:space="0" w:color="auto"/>
              <w:left w:val="nil"/>
              <w:bottom w:val="dashed" w:sz="4" w:space="0" w:color="auto"/>
              <w:right w:val="nil"/>
            </w:tcBorders>
            <w:shd w:val="clear" w:color="auto" w:fill="auto"/>
            <w:vAlign w:val="center"/>
          </w:tcPr>
          <w:p w14:paraId="48100CAA" w14:textId="77777777" w:rsidR="003B41C3" w:rsidRPr="004E6B03" w:rsidRDefault="003B41C3" w:rsidP="003B41C3">
            <w:pPr>
              <w:spacing w:after="0" w:line="259" w:lineRule="auto"/>
              <w:jc w:val="center"/>
              <w:textAlignment w:val="top"/>
              <w:rPr>
                <w:rFonts w:ascii="Cambria" w:eastAsia="Calibri" w:hAnsi="Cambria" w:cs="Times New Roman"/>
                <w:sz w:val="18"/>
                <w:szCs w:val="18"/>
              </w:rPr>
            </w:pPr>
            <w:r w:rsidRPr="004E6B03">
              <w:rPr>
                <w:rFonts w:ascii="Cambria" w:eastAsia="Calibri" w:hAnsi="Cambria" w:cs="Times New Roman"/>
                <w:sz w:val="18"/>
                <w:szCs w:val="18"/>
                <w:lang w:val="es-CO"/>
              </w:rPr>
              <w:t>44</w:t>
            </w:r>
          </w:p>
        </w:tc>
        <w:tc>
          <w:tcPr>
            <w:tcW w:w="2693" w:type="dxa"/>
            <w:tcBorders>
              <w:top w:val="dashed" w:sz="4" w:space="0" w:color="auto"/>
              <w:left w:val="nil"/>
              <w:bottom w:val="dashed" w:sz="4" w:space="0" w:color="auto"/>
              <w:right w:val="nil"/>
            </w:tcBorders>
            <w:shd w:val="clear" w:color="auto" w:fill="auto"/>
            <w:vAlign w:val="center"/>
          </w:tcPr>
          <w:p w14:paraId="2AC29F7D" w14:textId="77777777" w:rsidR="003B41C3" w:rsidRPr="004E6B03" w:rsidRDefault="003B41C3" w:rsidP="003B41C3">
            <w:pPr>
              <w:spacing w:after="0" w:line="259" w:lineRule="auto"/>
              <w:jc w:val="center"/>
              <w:textAlignment w:val="top"/>
              <w:rPr>
                <w:rFonts w:ascii="Cambria" w:eastAsia="Times New Roman" w:hAnsi="Cambria" w:cs="Arial"/>
                <w:color w:val="000000"/>
                <w:kern w:val="24"/>
                <w:sz w:val="18"/>
                <w:szCs w:val="18"/>
                <w:lang w:val="en-US" w:eastAsia="es-CO"/>
              </w:rPr>
            </w:pPr>
            <w:r w:rsidRPr="004E6B03">
              <w:rPr>
                <w:rFonts w:ascii="Cambria" w:eastAsia="Calibri" w:hAnsi="Cambria" w:cs="Times New Roman"/>
                <w:color w:val="000000"/>
                <w:sz w:val="18"/>
                <w:szCs w:val="18"/>
                <w:lang w:val="es-CO"/>
              </w:rPr>
              <w:t>5.510.579.276.271</w:t>
            </w:r>
          </w:p>
        </w:tc>
      </w:tr>
      <w:tr w:rsidR="003B41C3" w:rsidRPr="004E6B03" w14:paraId="4F921CFA" w14:textId="77777777" w:rsidTr="003B41C3">
        <w:trPr>
          <w:trHeight w:val="170"/>
          <w:jc w:val="center"/>
        </w:trPr>
        <w:tc>
          <w:tcPr>
            <w:tcW w:w="99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7587284" w14:textId="77777777" w:rsidR="003B41C3" w:rsidRPr="004E6B03" w:rsidRDefault="003B41C3" w:rsidP="003B41C3">
            <w:pPr>
              <w:spacing w:after="0" w:line="259" w:lineRule="auto"/>
              <w:jc w:val="center"/>
              <w:textAlignment w:val="center"/>
              <w:rPr>
                <w:rFonts w:ascii="Cambria" w:eastAsia="Times New Roman" w:hAnsi="Cambria" w:cs="Arial"/>
                <w:sz w:val="18"/>
                <w:szCs w:val="18"/>
                <w:lang w:val="es-CO" w:eastAsia="es-CO"/>
              </w:rPr>
            </w:pPr>
            <w:r w:rsidRPr="004E6B03">
              <w:rPr>
                <w:rFonts w:ascii="Cambria" w:eastAsia="Times New Roman" w:hAnsi="Cambria" w:cs="Arial"/>
                <w:color w:val="000000"/>
                <w:kern w:val="24"/>
                <w:sz w:val="18"/>
                <w:szCs w:val="18"/>
                <w:lang w:val="en-US" w:eastAsia="es-CO"/>
              </w:rPr>
              <w:t>10</w:t>
            </w:r>
          </w:p>
        </w:tc>
        <w:tc>
          <w:tcPr>
            <w:tcW w:w="3260" w:type="dxa"/>
            <w:gridSpan w:val="2"/>
            <w:tcBorders>
              <w:top w:val="nil"/>
              <w:left w:val="nil"/>
              <w:bottom w:val="nil"/>
              <w:right w:val="nil"/>
            </w:tcBorders>
            <w:shd w:val="clear" w:color="auto" w:fill="548DD4" w:themeFill="text2" w:themeFillTint="99"/>
            <w:tcMar>
              <w:top w:w="15" w:type="dxa"/>
              <w:left w:w="15" w:type="dxa"/>
              <w:bottom w:w="0" w:type="dxa"/>
              <w:right w:w="15" w:type="dxa"/>
            </w:tcMar>
            <w:vAlign w:val="bottom"/>
          </w:tcPr>
          <w:p w14:paraId="672DD5FE" w14:textId="77777777" w:rsidR="003B41C3" w:rsidRPr="004E6B03" w:rsidRDefault="003B41C3" w:rsidP="003B41C3">
            <w:pPr>
              <w:spacing w:after="0"/>
              <w:rPr>
                <w:rFonts w:eastAsia="Times New Roman" w:cs="Times New Roman"/>
                <w:b/>
                <w:bCs/>
                <w:color w:val="FFFFFF"/>
                <w:sz w:val="16"/>
                <w:szCs w:val="16"/>
                <w:lang w:val="es-CO" w:eastAsia="es-CO"/>
              </w:rPr>
            </w:pPr>
            <w:r w:rsidRPr="004E6B03">
              <w:rPr>
                <w:rFonts w:eastAsia="Times New Roman" w:cs="Times New Roman"/>
                <w:b/>
                <w:bCs/>
                <w:color w:val="FFFFFF"/>
                <w:sz w:val="16"/>
                <w:szCs w:val="16"/>
                <w:lang w:val="es-CO" w:eastAsia="es-CO"/>
              </w:rPr>
              <w:t>AGRICULTURA Y DESARROLLO RURAL</w:t>
            </w:r>
          </w:p>
        </w:tc>
        <w:tc>
          <w:tcPr>
            <w:tcW w:w="2268" w:type="dxa"/>
            <w:tcBorders>
              <w:top w:val="dashed" w:sz="4" w:space="0" w:color="auto"/>
              <w:left w:val="nil"/>
              <w:bottom w:val="nil"/>
              <w:right w:val="nil"/>
            </w:tcBorders>
            <w:shd w:val="clear" w:color="auto" w:fill="auto"/>
            <w:vAlign w:val="center"/>
          </w:tcPr>
          <w:p w14:paraId="64775946" w14:textId="77777777" w:rsidR="003B41C3" w:rsidRPr="004E6B03" w:rsidRDefault="003B41C3" w:rsidP="003B41C3">
            <w:pPr>
              <w:spacing w:after="0" w:line="259" w:lineRule="auto"/>
              <w:jc w:val="center"/>
              <w:textAlignment w:val="top"/>
              <w:rPr>
                <w:rFonts w:ascii="Cambria" w:eastAsia="Calibri" w:hAnsi="Cambria" w:cs="Times New Roman"/>
                <w:sz w:val="18"/>
                <w:szCs w:val="18"/>
              </w:rPr>
            </w:pPr>
            <w:r w:rsidRPr="004E6B03">
              <w:rPr>
                <w:rFonts w:ascii="Cambria" w:eastAsia="Calibri" w:hAnsi="Cambria" w:cs="Times New Roman"/>
                <w:sz w:val="18"/>
                <w:szCs w:val="18"/>
                <w:lang w:val="es-CO"/>
              </w:rPr>
              <w:t>41</w:t>
            </w:r>
          </w:p>
        </w:tc>
        <w:tc>
          <w:tcPr>
            <w:tcW w:w="2693" w:type="dxa"/>
            <w:tcBorders>
              <w:top w:val="dashed" w:sz="4" w:space="0" w:color="auto"/>
              <w:left w:val="nil"/>
              <w:bottom w:val="nil"/>
              <w:right w:val="nil"/>
            </w:tcBorders>
            <w:shd w:val="clear" w:color="auto" w:fill="auto"/>
            <w:vAlign w:val="center"/>
          </w:tcPr>
          <w:p w14:paraId="51A8B0C3" w14:textId="77777777" w:rsidR="003B41C3" w:rsidRPr="004E6B03" w:rsidRDefault="003B41C3" w:rsidP="003B41C3">
            <w:pPr>
              <w:spacing w:after="0" w:line="259" w:lineRule="auto"/>
              <w:jc w:val="center"/>
              <w:textAlignment w:val="top"/>
              <w:rPr>
                <w:rFonts w:ascii="Cambria" w:eastAsia="Times New Roman" w:hAnsi="Cambria" w:cs="Arial"/>
                <w:color w:val="000000"/>
                <w:kern w:val="24"/>
                <w:sz w:val="18"/>
                <w:szCs w:val="18"/>
                <w:lang w:val="en-US" w:eastAsia="es-CO"/>
              </w:rPr>
            </w:pPr>
            <w:r w:rsidRPr="004E6B03">
              <w:rPr>
                <w:rFonts w:ascii="Cambria" w:eastAsia="Calibri" w:hAnsi="Cambria" w:cs="Times New Roman"/>
                <w:color w:val="000000"/>
                <w:sz w:val="18"/>
                <w:szCs w:val="18"/>
                <w:lang w:val="es-CO"/>
              </w:rPr>
              <w:t>3.257.223.747.186</w:t>
            </w:r>
          </w:p>
        </w:tc>
      </w:tr>
      <w:tr w:rsidR="003B41C3" w:rsidRPr="004E6B03" w14:paraId="05F9F441" w14:textId="77777777" w:rsidTr="003B41C3">
        <w:trPr>
          <w:trHeight w:val="375"/>
          <w:jc w:val="center"/>
        </w:trPr>
        <w:tc>
          <w:tcPr>
            <w:tcW w:w="297"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36E917E" w14:textId="77777777" w:rsidR="003B41C3" w:rsidRPr="004E6B03" w:rsidRDefault="003B41C3" w:rsidP="003B41C3">
            <w:pPr>
              <w:spacing w:after="0" w:line="259" w:lineRule="auto"/>
              <w:rPr>
                <w:rFonts w:ascii="Cambria" w:eastAsia="Times New Roman" w:hAnsi="Cambria" w:cs="Arial"/>
                <w:sz w:val="16"/>
                <w:szCs w:val="16"/>
                <w:lang w:val="es-CO" w:eastAsia="es-CO"/>
              </w:rPr>
            </w:pPr>
          </w:p>
        </w:tc>
        <w:tc>
          <w:tcPr>
            <w:tcW w:w="3249" w:type="dxa"/>
            <w:gridSpan w:val="2"/>
            <w:tcBorders>
              <w:top w:val="nil"/>
              <w:left w:val="nil"/>
              <w:bottom w:val="single" w:sz="4" w:space="0" w:color="auto"/>
              <w:right w:val="nil"/>
            </w:tcBorders>
            <w:shd w:val="clear" w:color="auto" w:fill="auto"/>
            <w:tcMar>
              <w:top w:w="15" w:type="dxa"/>
              <w:left w:w="15" w:type="dxa"/>
              <w:bottom w:w="0" w:type="dxa"/>
              <w:right w:w="15" w:type="dxa"/>
            </w:tcMar>
            <w:hideMark/>
          </w:tcPr>
          <w:p w14:paraId="33D04D1D" w14:textId="77777777" w:rsidR="003B41C3" w:rsidRPr="004E6B03" w:rsidRDefault="003B41C3" w:rsidP="003B41C3">
            <w:pPr>
              <w:spacing w:after="0" w:line="259" w:lineRule="auto"/>
              <w:jc w:val="center"/>
              <w:textAlignment w:val="top"/>
              <w:rPr>
                <w:rFonts w:ascii="Cambria" w:eastAsia="Times New Roman" w:hAnsi="Cambria" w:cs="Arial"/>
                <w:b/>
                <w:sz w:val="16"/>
                <w:szCs w:val="16"/>
                <w:lang w:val="es-CO" w:eastAsia="es-CO"/>
              </w:rPr>
            </w:pPr>
            <w:r w:rsidRPr="004E6B03">
              <w:rPr>
                <w:rFonts w:ascii="Cambria" w:eastAsia="Times New Roman" w:hAnsi="Cambria" w:cs="Arial"/>
                <w:b/>
                <w:bCs/>
                <w:kern w:val="24"/>
                <w:sz w:val="16"/>
                <w:szCs w:val="16"/>
                <w:lang w:val="es-ES" w:eastAsia="es-CO"/>
              </w:rPr>
              <w:t>TOTAL PROCESOS EN CALIDAD DEMANDADOS</w:t>
            </w:r>
          </w:p>
        </w:tc>
        <w:tc>
          <w:tcPr>
            <w:tcW w:w="2975" w:type="dxa"/>
            <w:gridSpan w:val="2"/>
            <w:tcBorders>
              <w:top w:val="dashSmallGap" w:sz="4" w:space="0" w:color="auto"/>
              <w:left w:val="nil"/>
              <w:bottom w:val="single" w:sz="4" w:space="0" w:color="auto"/>
              <w:right w:val="nil"/>
            </w:tcBorders>
            <w:vAlign w:val="center"/>
          </w:tcPr>
          <w:p w14:paraId="592B302B" w14:textId="77777777" w:rsidR="003B41C3" w:rsidRPr="004E6B03" w:rsidRDefault="003B41C3" w:rsidP="003B41C3">
            <w:pPr>
              <w:spacing w:after="0" w:line="259" w:lineRule="auto"/>
              <w:jc w:val="center"/>
              <w:textAlignment w:val="top"/>
              <w:rPr>
                <w:rFonts w:ascii="Cambria" w:eastAsia="Times New Roman" w:hAnsi="Cambria" w:cs="Arial"/>
                <w:b/>
                <w:bCs/>
                <w:color w:val="000000"/>
                <w:kern w:val="24"/>
                <w:sz w:val="18"/>
                <w:szCs w:val="16"/>
                <w:lang w:val="en-US" w:eastAsia="es-CO"/>
              </w:rPr>
            </w:pPr>
            <w:r w:rsidRPr="004E6B03">
              <w:rPr>
                <w:rFonts w:ascii="Cambria" w:eastAsia="Times New Roman" w:hAnsi="Cambria" w:cs="Arial"/>
                <w:b/>
                <w:bCs/>
                <w:color w:val="000000"/>
                <w:kern w:val="24"/>
                <w:sz w:val="18"/>
                <w:szCs w:val="16"/>
                <w:lang w:val="en-US" w:eastAsia="es-CO"/>
              </w:rPr>
              <w:t>650</w:t>
            </w:r>
          </w:p>
        </w:tc>
        <w:tc>
          <w:tcPr>
            <w:tcW w:w="2693" w:type="dxa"/>
            <w:tcBorders>
              <w:top w:val="dashSmallGap" w:sz="4" w:space="0" w:color="auto"/>
              <w:left w:val="nil"/>
              <w:bottom w:val="single" w:sz="4" w:space="0" w:color="auto"/>
              <w:right w:val="nil"/>
            </w:tcBorders>
            <w:vAlign w:val="center"/>
          </w:tcPr>
          <w:p w14:paraId="68E3CB45" w14:textId="77777777" w:rsidR="003B41C3" w:rsidRPr="004E6B03" w:rsidRDefault="003B41C3" w:rsidP="003B41C3">
            <w:pPr>
              <w:spacing w:after="0" w:line="259" w:lineRule="auto"/>
              <w:jc w:val="center"/>
              <w:textAlignment w:val="top"/>
              <w:rPr>
                <w:rFonts w:ascii="Cambria" w:eastAsia="Times New Roman" w:hAnsi="Cambria" w:cs="Arial"/>
                <w:b/>
                <w:bCs/>
                <w:color w:val="000000"/>
                <w:kern w:val="24"/>
                <w:sz w:val="18"/>
                <w:szCs w:val="16"/>
                <w:lang w:val="en-US" w:eastAsia="es-CO"/>
              </w:rPr>
            </w:pPr>
            <w:r w:rsidRPr="004E6B03">
              <w:rPr>
                <w:rFonts w:ascii="Cambria" w:eastAsia="Times New Roman" w:hAnsi="Cambria" w:cs="Arial"/>
                <w:b/>
                <w:bCs/>
                <w:color w:val="000000"/>
                <w:kern w:val="24"/>
                <w:sz w:val="18"/>
                <w:szCs w:val="16"/>
                <w:lang w:val="en-US" w:eastAsia="es-CO"/>
              </w:rPr>
              <w:t>$126.879.364</w:t>
            </w:r>
          </w:p>
        </w:tc>
      </w:tr>
    </w:tbl>
    <w:p w14:paraId="611C2173" w14:textId="77777777" w:rsidR="003B41C3" w:rsidRPr="0060006B" w:rsidRDefault="003B41C3" w:rsidP="003B41C3">
      <w:pPr>
        <w:ind w:right="-283"/>
        <w:jc w:val="both"/>
        <w:rPr>
          <w:b/>
        </w:rPr>
      </w:pPr>
      <w:r w:rsidRPr="00284617">
        <w:rPr>
          <w:rFonts w:cs="Arial"/>
          <w:b/>
          <w:sz w:val="18"/>
          <w:szCs w:val="18"/>
        </w:rPr>
        <w:t>Fuente</w:t>
      </w:r>
      <w:r w:rsidRPr="0060006B">
        <w:rPr>
          <w:rFonts w:cs="Arial"/>
          <w:b/>
          <w:sz w:val="18"/>
          <w:szCs w:val="18"/>
        </w:rPr>
        <w:t>: Sistema Único de Gestión e Información de la Actividad Litigiosa del Estado (</w:t>
      </w:r>
      <w:proofErr w:type="spellStart"/>
      <w:r w:rsidRPr="0060006B">
        <w:rPr>
          <w:rFonts w:cs="Arial"/>
          <w:b/>
          <w:sz w:val="18"/>
          <w:szCs w:val="18"/>
        </w:rPr>
        <w:t>Sep</w:t>
      </w:r>
      <w:proofErr w:type="spellEnd"/>
      <w:r w:rsidRPr="0060006B">
        <w:rPr>
          <w:rFonts w:cs="Arial"/>
          <w:b/>
          <w:sz w:val="18"/>
          <w:szCs w:val="18"/>
        </w:rPr>
        <w:t xml:space="preserve"> 30 de 2013). </w:t>
      </w:r>
      <w:r w:rsidRPr="00284617">
        <w:rPr>
          <w:rFonts w:cs="Arial"/>
          <w:b/>
          <w:sz w:val="18"/>
          <w:szCs w:val="18"/>
        </w:rPr>
        <w:t>Cálculos:</w:t>
      </w:r>
      <w:r w:rsidRPr="0060006B">
        <w:rPr>
          <w:rFonts w:cs="Arial"/>
          <w:b/>
          <w:sz w:val="18"/>
          <w:szCs w:val="18"/>
        </w:rPr>
        <w:t xml:space="preserve"> DGI-ANDJE</w:t>
      </w:r>
    </w:p>
    <w:p w14:paraId="0F3C2FB1" w14:textId="77777777" w:rsidR="003B41C3" w:rsidRDefault="003B41C3" w:rsidP="003B41C3">
      <w:pPr>
        <w:jc w:val="both"/>
        <w:rPr>
          <w:rFonts w:cs="Arial"/>
          <w:sz w:val="16"/>
          <w:szCs w:val="16"/>
        </w:rPr>
      </w:pPr>
    </w:p>
    <w:p w14:paraId="12FE56E5" w14:textId="77777777" w:rsidR="003B41C3" w:rsidRPr="00EE7842" w:rsidRDefault="003B41C3" w:rsidP="003B41C3">
      <w:pPr>
        <w:ind w:right="-113"/>
        <w:jc w:val="center"/>
        <w:rPr>
          <w:b/>
          <w:sz w:val="20"/>
          <w:szCs w:val="20"/>
          <w:lang w:val="es-CO"/>
        </w:rPr>
      </w:pPr>
      <w:r w:rsidRPr="00EE7842">
        <w:rPr>
          <w:b/>
          <w:sz w:val="20"/>
          <w:szCs w:val="20"/>
          <w:lang w:val="es-CO"/>
        </w:rPr>
        <w:t>Tabla 4. Diez entidades con más procesos activos en contra de la Nación</w:t>
      </w:r>
    </w:p>
    <w:tbl>
      <w:tblPr>
        <w:tblW w:w="9356" w:type="dxa"/>
        <w:tblCellMar>
          <w:left w:w="70" w:type="dxa"/>
          <w:right w:w="70" w:type="dxa"/>
        </w:tblCellMar>
        <w:tblLook w:val="04A0" w:firstRow="1" w:lastRow="0" w:firstColumn="1" w:lastColumn="0" w:noHBand="0" w:noVBand="1"/>
      </w:tblPr>
      <w:tblGrid>
        <w:gridCol w:w="567"/>
        <w:gridCol w:w="5103"/>
        <w:gridCol w:w="1793"/>
        <w:gridCol w:w="1893"/>
      </w:tblGrid>
      <w:tr w:rsidR="003B41C3" w:rsidRPr="00496BBC" w14:paraId="175A759B" w14:textId="77777777" w:rsidTr="003B41C3">
        <w:trPr>
          <w:trHeight w:val="166"/>
        </w:trPr>
        <w:tc>
          <w:tcPr>
            <w:tcW w:w="567" w:type="dxa"/>
            <w:tcBorders>
              <w:top w:val="nil"/>
              <w:left w:val="nil"/>
              <w:bottom w:val="nil"/>
              <w:right w:val="nil"/>
            </w:tcBorders>
            <w:shd w:val="clear" w:color="auto" w:fill="548DD4" w:themeFill="text2" w:themeFillTint="99"/>
            <w:vAlign w:val="center"/>
            <w:hideMark/>
          </w:tcPr>
          <w:p w14:paraId="42584E82" w14:textId="77777777" w:rsidR="003B41C3" w:rsidRPr="00EE7842" w:rsidRDefault="003B41C3" w:rsidP="003B41C3">
            <w:pPr>
              <w:spacing w:after="0"/>
              <w:jc w:val="center"/>
              <w:rPr>
                <w:rFonts w:eastAsia="Times New Roman" w:cs="Times New Roman"/>
                <w:b/>
                <w:bCs/>
                <w:color w:val="FFFFFF"/>
                <w:sz w:val="18"/>
                <w:szCs w:val="18"/>
                <w:lang w:val="es-CO" w:eastAsia="es-CO"/>
              </w:rPr>
            </w:pPr>
            <w:r w:rsidRPr="00EE7842">
              <w:rPr>
                <w:rFonts w:eastAsia="Times New Roman" w:cs="Times New Roman"/>
                <w:b/>
                <w:bCs/>
                <w:color w:val="FFFFFF"/>
                <w:sz w:val="18"/>
                <w:szCs w:val="18"/>
                <w:lang w:val="es-CO" w:eastAsia="es-CO"/>
              </w:rPr>
              <w:t>No.</w:t>
            </w:r>
          </w:p>
        </w:tc>
        <w:tc>
          <w:tcPr>
            <w:tcW w:w="5103" w:type="dxa"/>
            <w:tcBorders>
              <w:top w:val="nil"/>
              <w:left w:val="nil"/>
              <w:bottom w:val="nil"/>
              <w:right w:val="nil"/>
            </w:tcBorders>
            <w:shd w:val="clear" w:color="auto" w:fill="548DD4" w:themeFill="text2" w:themeFillTint="99"/>
            <w:vAlign w:val="center"/>
            <w:hideMark/>
          </w:tcPr>
          <w:p w14:paraId="50C8975C" w14:textId="77777777" w:rsidR="003B41C3" w:rsidRPr="00EE7842" w:rsidRDefault="003B41C3" w:rsidP="003B41C3">
            <w:pPr>
              <w:spacing w:after="0"/>
              <w:jc w:val="center"/>
              <w:rPr>
                <w:rFonts w:eastAsia="Times New Roman" w:cs="Times New Roman"/>
                <w:b/>
                <w:bCs/>
                <w:color w:val="FFFFFF"/>
                <w:sz w:val="18"/>
                <w:szCs w:val="18"/>
                <w:lang w:val="es-CO" w:eastAsia="es-CO"/>
              </w:rPr>
            </w:pPr>
            <w:r w:rsidRPr="00EE7842">
              <w:rPr>
                <w:rFonts w:eastAsia="Times New Roman" w:cs="Times New Roman"/>
                <w:b/>
                <w:bCs/>
                <w:color w:val="FFFFFF"/>
                <w:sz w:val="18"/>
                <w:szCs w:val="18"/>
                <w:lang w:val="es-CO" w:eastAsia="es-CO"/>
              </w:rPr>
              <w:t>COD_ENTIDAD</w:t>
            </w:r>
          </w:p>
        </w:tc>
        <w:tc>
          <w:tcPr>
            <w:tcW w:w="1793" w:type="dxa"/>
            <w:tcBorders>
              <w:top w:val="nil"/>
              <w:left w:val="nil"/>
              <w:bottom w:val="nil"/>
              <w:right w:val="nil"/>
            </w:tcBorders>
            <w:shd w:val="clear" w:color="auto" w:fill="548DD4" w:themeFill="text2" w:themeFillTint="99"/>
            <w:vAlign w:val="center"/>
            <w:hideMark/>
          </w:tcPr>
          <w:p w14:paraId="3A637EDC" w14:textId="77777777" w:rsidR="003B41C3" w:rsidRPr="00EE7842" w:rsidRDefault="003B41C3" w:rsidP="003B41C3">
            <w:pPr>
              <w:spacing w:after="0"/>
              <w:jc w:val="center"/>
              <w:rPr>
                <w:rFonts w:eastAsia="Times New Roman" w:cs="Times New Roman"/>
                <w:b/>
                <w:bCs/>
                <w:color w:val="FFFFFF"/>
                <w:sz w:val="18"/>
                <w:szCs w:val="18"/>
                <w:lang w:val="es-CO" w:eastAsia="es-CO"/>
              </w:rPr>
            </w:pPr>
            <w:r w:rsidRPr="00EE7842">
              <w:rPr>
                <w:rFonts w:eastAsia="Times New Roman" w:cs="Times New Roman"/>
                <w:b/>
                <w:bCs/>
                <w:color w:val="FFFFFF"/>
                <w:sz w:val="18"/>
                <w:szCs w:val="18"/>
                <w:lang w:val="es-CO" w:eastAsia="es-CO"/>
              </w:rPr>
              <w:t>procesos</w:t>
            </w:r>
          </w:p>
        </w:tc>
        <w:tc>
          <w:tcPr>
            <w:tcW w:w="1893" w:type="dxa"/>
            <w:tcBorders>
              <w:top w:val="nil"/>
              <w:left w:val="nil"/>
              <w:bottom w:val="nil"/>
              <w:right w:val="nil"/>
            </w:tcBorders>
            <w:shd w:val="clear" w:color="auto" w:fill="548DD4" w:themeFill="text2" w:themeFillTint="99"/>
            <w:vAlign w:val="center"/>
            <w:hideMark/>
          </w:tcPr>
          <w:p w14:paraId="1606A0FB" w14:textId="77777777" w:rsidR="003B41C3" w:rsidRPr="00EE7842" w:rsidRDefault="003B41C3" w:rsidP="003B41C3">
            <w:pPr>
              <w:spacing w:after="0"/>
              <w:jc w:val="center"/>
              <w:rPr>
                <w:rFonts w:eastAsia="Times New Roman" w:cs="Times New Roman"/>
                <w:b/>
                <w:bCs/>
                <w:color w:val="FFFFFF"/>
                <w:sz w:val="18"/>
                <w:szCs w:val="18"/>
                <w:lang w:val="es-CO" w:eastAsia="es-CO"/>
              </w:rPr>
            </w:pPr>
            <w:r w:rsidRPr="00EE7842">
              <w:rPr>
                <w:rFonts w:eastAsia="Times New Roman" w:cs="Times New Roman"/>
                <w:b/>
                <w:bCs/>
                <w:color w:val="FFFFFF"/>
                <w:sz w:val="18"/>
                <w:szCs w:val="18"/>
                <w:lang w:val="es-CO" w:eastAsia="es-CO"/>
              </w:rPr>
              <w:t>Valor</w:t>
            </w:r>
          </w:p>
        </w:tc>
      </w:tr>
      <w:tr w:rsidR="003B41C3" w:rsidRPr="00496BBC" w14:paraId="0D0D9D4A" w14:textId="77777777" w:rsidTr="003B41C3">
        <w:trPr>
          <w:trHeight w:val="245"/>
        </w:trPr>
        <w:tc>
          <w:tcPr>
            <w:tcW w:w="567" w:type="dxa"/>
            <w:tcBorders>
              <w:top w:val="nil"/>
              <w:left w:val="nil"/>
              <w:bottom w:val="nil"/>
              <w:right w:val="nil"/>
            </w:tcBorders>
            <w:shd w:val="clear" w:color="000000" w:fill="FFFFFF"/>
            <w:vAlign w:val="bottom"/>
            <w:hideMark/>
          </w:tcPr>
          <w:p w14:paraId="045E8C89"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1</w:t>
            </w:r>
          </w:p>
        </w:tc>
        <w:tc>
          <w:tcPr>
            <w:tcW w:w="5103" w:type="dxa"/>
            <w:tcBorders>
              <w:top w:val="nil"/>
              <w:left w:val="nil"/>
              <w:bottom w:val="nil"/>
              <w:right w:val="nil"/>
            </w:tcBorders>
            <w:shd w:val="clear" w:color="auto" w:fill="548DD4" w:themeFill="text2" w:themeFillTint="99"/>
            <w:vAlign w:val="center"/>
            <w:hideMark/>
          </w:tcPr>
          <w:p w14:paraId="3A42135A" w14:textId="77777777" w:rsidR="003B41C3" w:rsidRPr="00EE7842" w:rsidRDefault="003B41C3" w:rsidP="003B41C3">
            <w:pPr>
              <w:spacing w:after="0"/>
              <w:rPr>
                <w:rFonts w:eastAsia="Times New Roman" w:cs="Times New Roman"/>
                <w:b/>
                <w:bCs/>
                <w:color w:val="FFFFFF"/>
                <w:sz w:val="18"/>
                <w:szCs w:val="18"/>
                <w:lang w:val="es-CO" w:eastAsia="es-CO"/>
              </w:rPr>
            </w:pPr>
            <w:r w:rsidRPr="00EE7842">
              <w:rPr>
                <w:rFonts w:eastAsia="Times New Roman" w:cs="Times New Roman"/>
                <w:b/>
                <w:bCs/>
                <w:color w:val="FFFFFF"/>
                <w:sz w:val="18"/>
                <w:szCs w:val="18"/>
                <w:lang w:val="es-CO" w:eastAsia="es-CO"/>
              </w:rPr>
              <w:t>INSTITUTO DE SEGUROS SOCIALES EN LIQUIDACION</w:t>
            </w:r>
          </w:p>
        </w:tc>
        <w:tc>
          <w:tcPr>
            <w:tcW w:w="1793" w:type="dxa"/>
            <w:tcBorders>
              <w:top w:val="nil"/>
              <w:left w:val="nil"/>
              <w:bottom w:val="nil"/>
              <w:right w:val="nil"/>
            </w:tcBorders>
            <w:shd w:val="clear" w:color="000000" w:fill="FFFFFF"/>
            <w:vAlign w:val="bottom"/>
            <w:hideMark/>
          </w:tcPr>
          <w:p w14:paraId="13ED2449"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99.451</w:t>
            </w:r>
          </w:p>
        </w:tc>
        <w:tc>
          <w:tcPr>
            <w:tcW w:w="1893" w:type="dxa"/>
            <w:tcBorders>
              <w:top w:val="nil"/>
              <w:left w:val="nil"/>
              <w:bottom w:val="nil"/>
              <w:right w:val="nil"/>
            </w:tcBorders>
            <w:shd w:val="clear" w:color="000000" w:fill="FFFFFF"/>
            <w:vAlign w:val="bottom"/>
            <w:hideMark/>
          </w:tcPr>
          <w:p w14:paraId="0B95CE07" w14:textId="77777777" w:rsidR="003B41C3" w:rsidRPr="00EE7842" w:rsidRDefault="003B41C3" w:rsidP="003B41C3">
            <w:pPr>
              <w:spacing w:after="0"/>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$ 2.480.239.921.503</w:t>
            </w:r>
          </w:p>
        </w:tc>
      </w:tr>
      <w:tr w:rsidR="003B41C3" w:rsidRPr="00496BBC" w14:paraId="1843BD6F" w14:textId="77777777" w:rsidTr="003B41C3">
        <w:trPr>
          <w:trHeight w:val="245"/>
        </w:trPr>
        <w:tc>
          <w:tcPr>
            <w:tcW w:w="567" w:type="dxa"/>
            <w:tcBorders>
              <w:top w:val="nil"/>
              <w:left w:val="nil"/>
              <w:bottom w:val="nil"/>
              <w:right w:val="nil"/>
            </w:tcBorders>
            <w:shd w:val="clear" w:color="000000" w:fill="FFFFFF"/>
            <w:vAlign w:val="bottom"/>
            <w:hideMark/>
          </w:tcPr>
          <w:p w14:paraId="5E57E2F1"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2</w:t>
            </w:r>
          </w:p>
        </w:tc>
        <w:tc>
          <w:tcPr>
            <w:tcW w:w="5103" w:type="dxa"/>
            <w:tcBorders>
              <w:top w:val="nil"/>
              <w:left w:val="nil"/>
              <w:bottom w:val="nil"/>
              <w:right w:val="nil"/>
            </w:tcBorders>
            <w:shd w:val="clear" w:color="auto" w:fill="548DD4" w:themeFill="text2" w:themeFillTint="99"/>
            <w:vAlign w:val="bottom"/>
            <w:hideMark/>
          </w:tcPr>
          <w:p w14:paraId="6CAA2731" w14:textId="77777777" w:rsidR="003B41C3" w:rsidRPr="00EE7842" w:rsidRDefault="003B41C3" w:rsidP="003B41C3">
            <w:pPr>
              <w:spacing w:after="0"/>
              <w:rPr>
                <w:rFonts w:eastAsia="Times New Roman" w:cs="Times New Roman"/>
                <w:color w:val="FFFFFF"/>
                <w:sz w:val="18"/>
                <w:szCs w:val="18"/>
                <w:lang w:val="es-CO" w:eastAsia="es-CO"/>
              </w:rPr>
            </w:pPr>
            <w:r w:rsidRPr="00EE7842">
              <w:rPr>
                <w:rFonts w:eastAsia="Times New Roman" w:cs="Times New Roman"/>
                <w:color w:val="FFFFFF"/>
                <w:sz w:val="18"/>
                <w:szCs w:val="18"/>
                <w:lang w:val="es-CO" w:eastAsia="es-CO"/>
              </w:rPr>
              <w:t>CAJA DE SUELDOS DE RETIRO DE LA POLICIA NACIONAL</w:t>
            </w:r>
          </w:p>
        </w:tc>
        <w:tc>
          <w:tcPr>
            <w:tcW w:w="1793" w:type="dxa"/>
            <w:tcBorders>
              <w:top w:val="nil"/>
              <w:left w:val="nil"/>
              <w:bottom w:val="nil"/>
              <w:right w:val="nil"/>
            </w:tcBorders>
            <w:shd w:val="clear" w:color="000000" w:fill="FFFFFF"/>
            <w:vAlign w:val="bottom"/>
            <w:hideMark/>
          </w:tcPr>
          <w:p w14:paraId="56AE755D"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19.614</w:t>
            </w:r>
          </w:p>
        </w:tc>
        <w:tc>
          <w:tcPr>
            <w:tcW w:w="1893" w:type="dxa"/>
            <w:tcBorders>
              <w:top w:val="nil"/>
              <w:left w:val="nil"/>
              <w:bottom w:val="nil"/>
              <w:right w:val="nil"/>
            </w:tcBorders>
            <w:shd w:val="clear" w:color="000000" w:fill="FFFFFF"/>
            <w:vAlign w:val="bottom"/>
            <w:hideMark/>
          </w:tcPr>
          <w:p w14:paraId="7DD966A5" w14:textId="77777777" w:rsidR="003B41C3" w:rsidRPr="00EE7842" w:rsidRDefault="003B41C3" w:rsidP="003B41C3">
            <w:pPr>
              <w:spacing w:after="0"/>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$ 302.121.437.109</w:t>
            </w:r>
          </w:p>
        </w:tc>
      </w:tr>
      <w:tr w:rsidR="003B41C3" w:rsidRPr="00496BBC" w14:paraId="74AADF6A" w14:textId="77777777" w:rsidTr="003B41C3">
        <w:trPr>
          <w:trHeight w:val="245"/>
        </w:trPr>
        <w:tc>
          <w:tcPr>
            <w:tcW w:w="567" w:type="dxa"/>
            <w:tcBorders>
              <w:top w:val="nil"/>
              <w:left w:val="nil"/>
              <w:bottom w:val="nil"/>
              <w:right w:val="nil"/>
            </w:tcBorders>
            <w:shd w:val="clear" w:color="000000" w:fill="FFFFFF"/>
            <w:vAlign w:val="bottom"/>
            <w:hideMark/>
          </w:tcPr>
          <w:p w14:paraId="79C6F79B"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3</w:t>
            </w:r>
          </w:p>
        </w:tc>
        <w:tc>
          <w:tcPr>
            <w:tcW w:w="5103" w:type="dxa"/>
            <w:tcBorders>
              <w:top w:val="nil"/>
              <w:left w:val="nil"/>
              <w:bottom w:val="nil"/>
              <w:right w:val="nil"/>
            </w:tcBorders>
            <w:shd w:val="clear" w:color="auto" w:fill="548DD4" w:themeFill="text2" w:themeFillTint="99"/>
            <w:vAlign w:val="bottom"/>
            <w:hideMark/>
          </w:tcPr>
          <w:p w14:paraId="6115DC8F" w14:textId="77777777" w:rsidR="003B41C3" w:rsidRPr="00EE7842" w:rsidRDefault="003B41C3" w:rsidP="003B41C3">
            <w:pPr>
              <w:spacing w:after="0"/>
              <w:rPr>
                <w:rFonts w:eastAsia="Times New Roman" w:cs="Times New Roman"/>
                <w:color w:val="FFFFFF"/>
                <w:sz w:val="18"/>
                <w:szCs w:val="18"/>
                <w:lang w:val="es-CO" w:eastAsia="es-CO"/>
              </w:rPr>
            </w:pPr>
            <w:r w:rsidRPr="00EE7842">
              <w:rPr>
                <w:rFonts w:eastAsia="Times New Roman" w:cs="Times New Roman"/>
                <w:color w:val="FFFFFF"/>
                <w:sz w:val="18"/>
                <w:szCs w:val="18"/>
                <w:lang w:val="es-CO" w:eastAsia="es-CO"/>
              </w:rPr>
              <w:t xml:space="preserve">FONDO DE PRESTACIONES SOCIALES DEL MAGISTERIOS </w:t>
            </w:r>
            <w:r>
              <w:rPr>
                <w:rFonts w:eastAsia="Times New Roman" w:cs="Times New Roman"/>
                <w:color w:val="FFFFFF"/>
                <w:sz w:val="18"/>
                <w:szCs w:val="18"/>
                <w:lang w:val="es-CO" w:eastAsia="es-CO"/>
              </w:rPr>
              <w:t>–</w:t>
            </w:r>
            <w:r w:rsidRPr="00EE7842">
              <w:rPr>
                <w:rFonts w:eastAsia="Times New Roman" w:cs="Times New Roman"/>
                <w:color w:val="FFFFFF"/>
                <w:sz w:val="18"/>
                <w:szCs w:val="18"/>
                <w:lang w:val="es-CO" w:eastAsia="es-CO"/>
              </w:rPr>
              <w:t xml:space="preserve"> FOMAG</w:t>
            </w:r>
          </w:p>
        </w:tc>
        <w:tc>
          <w:tcPr>
            <w:tcW w:w="1793" w:type="dxa"/>
            <w:tcBorders>
              <w:top w:val="nil"/>
              <w:left w:val="nil"/>
              <w:bottom w:val="nil"/>
              <w:right w:val="nil"/>
            </w:tcBorders>
            <w:shd w:val="clear" w:color="000000" w:fill="FFFFFF"/>
            <w:vAlign w:val="bottom"/>
            <w:hideMark/>
          </w:tcPr>
          <w:p w14:paraId="1EBB3F7B"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17.668</w:t>
            </w:r>
          </w:p>
        </w:tc>
        <w:tc>
          <w:tcPr>
            <w:tcW w:w="1893" w:type="dxa"/>
            <w:tcBorders>
              <w:top w:val="nil"/>
              <w:left w:val="nil"/>
              <w:bottom w:val="nil"/>
              <w:right w:val="nil"/>
            </w:tcBorders>
            <w:shd w:val="clear" w:color="000000" w:fill="FFFFFF"/>
            <w:vAlign w:val="bottom"/>
            <w:hideMark/>
          </w:tcPr>
          <w:p w14:paraId="107F09E2" w14:textId="77777777" w:rsidR="003B41C3" w:rsidRPr="00EE7842" w:rsidRDefault="003B41C3" w:rsidP="003B41C3">
            <w:pPr>
              <w:spacing w:after="0"/>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$ 442.566.551.109</w:t>
            </w:r>
          </w:p>
        </w:tc>
      </w:tr>
      <w:tr w:rsidR="003B41C3" w:rsidRPr="00496BBC" w14:paraId="20D422FC" w14:textId="77777777" w:rsidTr="003B41C3">
        <w:trPr>
          <w:trHeight w:val="245"/>
        </w:trPr>
        <w:tc>
          <w:tcPr>
            <w:tcW w:w="567" w:type="dxa"/>
            <w:tcBorders>
              <w:top w:val="nil"/>
              <w:left w:val="nil"/>
              <w:bottom w:val="nil"/>
              <w:right w:val="nil"/>
            </w:tcBorders>
            <w:shd w:val="clear" w:color="000000" w:fill="FFFFFF"/>
            <w:vAlign w:val="bottom"/>
            <w:hideMark/>
          </w:tcPr>
          <w:p w14:paraId="5A49EE2D"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4</w:t>
            </w:r>
          </w:p>
        </w:tc>
        <w:tc>
          <w:tcPr>
            <w:tcW w:w="5103" w:type="dxa"/>
            <w:tcBorders>
              <w:top w:val="nil"/>
              <w:left w:val="nil"/>
              <w:bottom w:val="nil"/>
              <w:right w:val="nil"/>
            </w:tcBorders>
            <w:shd w:val="clear" w:color="auto" w:fill="548DD4" w:themeFill="text2" w:themeFillTint="99"/>
            <w:vAlign w:val="bottom"/>
            <w:hideMark/>
          </w:tcPr>
          <w:p w14:paraId="61431A2C" w14:textId="77777777" w:rsidR="003B41C3" w:rsidRPr="00EE7842" w:rsidRDefault="003B41C3" w:rsidP="003B41C3">
            <w:pPr>
              <w:spacing w:after="0"/>
              <w:rPr>
                <w:rFonts w:eastAsia="Times New Roman" w:cs="Times New Roman"/>
                <w:color w:val="FFFFFF"/>
                <w:sz w:val="18"/>
                <w:szCs w:val="18"/>
                <w:lang w:val="es-CO" w:eastAsia="es-CO"/>
              </w:rPr>
            </w:pPr>
            <w:r w:rsidRPr="00EE7842">
              <w:rPr>
                <w:rFonts w:eastAsia="Times New Roman" w:cs="Times New Roman"/>
                <w:color w:val="FFFFFF"/>
                <w:sz w:val="18"/>
                <w:szCs w:val="18"/>
                <w:lang w:val="es-CO" w:eastAsia="es-CO"/>
              </w:rPr>
              <w:t>MINISTERIO DE DEFENSA NACIONAL</w:t>
            </w:r>
          </w:p>
        </w:tc>
        <w:tc>
          <w:tcPr>
            <w:tcW w:w="1793" w:type="dxa"/>
            <w:tcBorders>
              <w:top w:val="nil"/>
              <w:left w:val="nil"/>
              <w:bottom w:val="nil"/>
              <w:right w:val="nil"/>
            </w:tcBorders>
            <w:shd w:val="clear" w:color="000000" w:fill="FFFFFF"/>
            <w:vAlign w:val="bottom"/>
            <w:hideMark/>
          </w:tcPr>
          <w:p w14:paraId="6650046A"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16.658</w:t>
            </w:r>
          </w:p>
        </w:tc>
        <w:tc>
          <w:tcPr>
            <w:tcW w:w="1893" w:type="dxa"/>
            <w:tcBorders>
              <w:top w:val="nil"/>
              <w:left w:val="nil"/>
              <w:bottom w:val="nil"/>
              <w:right w:val="nil"/>
            </w:tcBorders>
            <w:shd w:val="clear" w:color="000000" w:fill="FFFFFF"/>
            <w:vAlign w:val="bottom"/>
            <w:hideMark/>
          </w:tcPr>
          <w:p w14:paraId="26C64F12" w14:textId="77777777" w:rsidR="003B41C3" w:rsidRPr="00EE7842" w:rsidRDefault="003B41C3" w:rsidP="003B41C3">
            <w:pPr>
              <w:spacing w:after="0"/>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$ 14.875.416.053.975</w:t>
            </w:r>
          </w:p>
        </w:tc>
      </w:tr>
      <w:tr w:rsidR="003B41C3" w:rsidRPr="00496BBC" w14:paraId="25EED044" w14:textId="77777777" w:rsidTr="003B41C3">
        <w:trPr>
          <w:trHeight w:val="245"/>
        </w:trPr>
        <w:tc>
          <w:tcPr>
            <w:tcW w:w="567" w:type="dxa"/>
            <w:tcBorders>
              <w:top w:val="nil"/>
              <w:left w:val="nil"/>
              <w:bottom w:val="nil"/>
              <w:right w:val="nil"/>
            </w:tcBorders>
            <w:shd w:val="clear" w:color="000000" w:fill="FFFFFF"/>
            <w:vAlign w:val="bottom"/>
            <w:hideMark/>
          </w:tcPr>
          <w:p w14:paraId="054ECEEE"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5</w:t>
            </w:r>
          </w:p>
        </w:tc>
        <w:tc>
          <w:tcPr>
            <w:tcW w:w="5103" w:type="dxa"/>
            <w:tcBorders>
              <w:top w:val="nil"/>
              <w:left w:val="nil"/>
              <w:bottom w:val="nil"/>
              <w:right w:val="nil"/>
            </w:tcBorders>
            <w:shd w:val="clear" w:color="auto" w:fill="548DD4" w:themeFill="text2" w:themeFillTint="99"/>
            <w:vAlign w:val="bottom"/>
            <w:hideMark/>
          </w:tcPr>
          <w:p w14:paraId="3B652879" w14:textId="77777777" w:rsidR="003B41C3" w:rsidRPr="00EE7842" w:rsidRDefault="003B41C3" w:rsidP="003B41C3">
            <w:pPr>
              <w:spacing w:after="0"/>
              <w:rPr>
                <w:rFonts w:eastAsia="Times New Roman" w:cs="Times New Roman"/>
                <w:color w:val="FFFFFF"/>
                <w:sz w:val="18"/>
                <w:szCs w:val="18"/>
                <w:lang w:val="es-CO" w:eastAsia="es-CO"/>
              </w:rPr>
            </w:pPr>
            <w:r w:rsidRPr="00EE7842">
              <w:rPr>
                <w:rFonts w:eastAsia="Times New Roman" w:cs="Times New Roman"/>
                <w:color w:val="FFFFFF"/>
                <w:sz w:val="18"/>
                <w:szCs w:val="18"/>
                <w:lang w:val="es-CO" w:eastAsia="es-CO"/>
              </w:rPr>
              <w:t>POLICIA NACIONAL</w:t>
            </w:r>
          </w:p>
        </w:tc>
        <w:tc>
          <w:tcPr>
            <w:tcW w:w="1793" w:type="dxa"/>
            <w:tcBorders>
              <w:top w:val="nil"/>
              <w:left w:val="nil"/>
              <w:bottom w:val="nil"/>
              <w:right w:val="nil"/>
            </w:tcBorders>
            <w:shd w:val="clear" w:color="000000" w:fill="FFFFFF"/>
            <w:vAlign w:val="bottom"/>
            <w:hideMark/>
          </w:tcPr>
          <w:p w14:paraId="32CE83A6"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14.127</w:t>
            </w:r>
          </w:p>
        </w:tc>
        <w:tc>
          <w:tcPr>
            <w:tcW w:w="1893" w:type="dxa"/>
            <w:tcBorders>
              <w:top w:val="nil"/>
              <w:left w:val="nil"/>
              <w:bottom w:val="nil"/>
              <w:right w:val="nil"/>
            </w:tcBorders>
            <w:shd w:val="clear" w:color="000000" w:fill="FFFFFF"/>
            <w:vAlign w:val="bottom"/>
            <w:hideMark/>
          </w:tcPr>
          <w:p w14:paraId="379D3B0A" w14:textId="77777777" w:rsidR="003B41C3" w:rsidRPr="00EE7842" w:rsidRDefault="003B41C3" w:rsidP="003B41C3">
            <w:pPr>
              <w:spacing w:after="0"/>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$ 19.161.655.124.166</w:t>
            </w:r>
          </w:p>
        </w:tc>
      </w:tr>
      <w:tr w:rsidR="003B41C3" w:rsidRPr="00496BBC" w14:paraId="3B6D974B" w14:textId="77777777" w:rsidTr="003B41C3">
        <w:trPr>
          <w:trHeight w:val="245"/>
        </w:trPr>
        <w:tc>
          <w:tcPr>
            <w:tcW w:w="567" w:type="dxa"/>
            <w:tcBorders>
              <w:top w:val="nil"/>
              <w:left w:val="nil"/>
              <w:bottom w:val="nil"/>
              <w:right w:val="nil"/>
            </w:tcBorders>
            <w:shd w:val="clear" w:color="000000" w:fill="FFFFFF"/>
            <w:vAlign w:val="bottom"/>
            <w:hideMark/>
          </w:tcPr>
          <w:p w14:paraId="55B88E2E"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6</w:t>
            </w:r>
          </w:p>
        </w:tc>
        <w:tc>
          <w:tcPr>
            <w:tcW w:w="5103" w:type="dxa"/>
            <w:tcBorders>
              <w:top w:val="nil"/>
              <w:left w:val="nil"/>
              <w:bottom w:val="nil"/>
              <w:right w:val="nil"/>
            </w:tcBorders>
            <w:shd w:val="clear" w:color="auto" w:fill="548DD4" w:themeFill="text2" w:themeFillTint="99"/>
            <w:vAlign w:val="bottom"/>
            <w:hideMark/>
          </w:tcPr>
          <w:p w14:paraId="24334D82" w14:textId="77777777" w:rsidR="003B41C3" w:rsidRPr="00EE7842" w:rsidRDefault="003B41C3" w:rsidP="003B41C3">
            <w:pPr>
              <w:spacing w:after="0"/>
              <w:rPr>
                <w:rFonts w:eastAsia="Times New Roman" w:cs="Times New Roman"/>
                <w:color w:val="FFFFFF"/>
                <w:sz w:val="18"/>
                <w:szCs w:val="18"/>
                <w:lang w:val="es-CO" w:eastAsia="es-CO"/>
              </w:rPr>
            </w:pPr>
            <w:r w:rsidRPr="00EE7842">
              <w:rPr>
                <w:rFonts w:eastAsia="Times New Roman" w:cs="Times New Roman"/>
                <w:color w:val="FFFFFF"/>
                <w:sz w:val="18"/>
                <w:szCs w:val="18"/>
                <w:lang w:val="es-CO" w:eastAsia="es-CO"/>
              </w:rPr>
              <w:t>CAJA DE RETIRO DE LAS FUERZAS MILITARES</w:t>
            </w:r>
          </w:p>
        </w:tc>
        <w:tc>
          <w:tcPr>
            <w:tcW w:w="1793" w:type="dxa"/>
            <w:tcBorders>
              <w:top w:val="nil"/>
              <w:left w:val="nil"/>
              <w:bottom w:val="nil"/>
              <w:right w:val="nil"/>
            </w:tcBorders>
            <w:shd w:val="clear" w:color="000000" w:fill="FFFFFF"/>
            <w:vAlign w:val="bottom"/>
            <w:hideMark/>
          </w:tcPr>
          <w:p w14:paraId="5F31430D"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12.416</w:t>
            </w:r>
          </w:p>
        </w:tc>
        <w:tc>
          <w:tcPr>
            <w:tcW w:w="1893" w:type="dxa"/>
            <w:tcBorders>
              <w:top w:val="nil"/>
              <w:left w:val="nil"/>
              <w:bottom w:val="nil"/>
              <w:right w:val="nil"/>
            </w:tcBorders>
            <w:shd w:val="clear" w:color="000000" w:fill="FFFFFF"/>
            <w:vAlign w:val="bottom"/>
            <w:hideMark/>
          </w:tcPr>
          <w:p w14:paraId="7FE626DB" w14:textId="77777777" w:rsidR="003B41C3" w:rsidRPr="00EE7842" w:rsidRDefault="003B41C3" w:rsidP="003B41C3">
            <w:pPr>
              <w:spacing w:after="0"/>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$ 275.361.588.837</w:t>
            </w:r>
          </w:p>
        </w:tc>
      </w:tr>
      <w:tr w:rsidR="003B41C3" w:rsidRPr="00496BBC" w14:paraId="71610A9F" w14:textId="77777777" w:rsidTr="003B41C3">
        <w:trPr>
          <w:trHeight w:val="245"/>
        </w:trPr>
        <w:tc>
          <w:tcPr>
            <w:tcW w:w="567" w:type="dxa"/>
            <w:tcBorders>
              <w:top w:val="nil"/>
              <w:left w:val="nil"/>
              <w:bottom w:val="nil"/>
              <w:right w:val="nil"/>
            </w:tcBorders>
            <w:shd w:val="clear" w:color="000000" w:fill="FFFFFF"/>
            <w:vAlign w:val="bottom"/>
            <w:hideMark/>
          </w:tcPr>
          <w:p w14:paraId="7651FC46"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7</w:t>
            </w:r>
          </w:p>
        </w:tc>
        <w:tc>
          <w:tcPr>
            <w:tcW w:w="5103" w:type="dxa"/>
            <w:tcBorders>
              <w:top w:val="nil"/>
              <w:left w:val="nil"/>
              <w:bottom w:val="nil"/>
              <w:right w:val="nil"/>
            </w:tcBorders>
            <w:shd w:val="clear" w:color="auto" w:fill="548DD4" w:themeFill="text2" w:themeFillTint="99"/>
            <w:vAlign w:val="bottom"/>
            <w:hideMark/>
          </w:tcPr>
          <w:p w14:paraId="4247F613" w14:textId="77777777" w:rsidR="003B41C3" w:rsidRPr="00EE7842" w:rsidRDefault="003B41C3" w:rsidP="003B41C3">
            <w:pPr>
              <w:spacing w:after="0"/>
              <w:rPr>
                <w:rFonts w:eastAsia="Times New Roman" w:cs="Times New Roman"/>
                <w:color w:val="FFFFFF"/>
                <w:sz w:val="18"/>
                <w:szCs w:val="18"/>
                <w:lang w:val="es-CO" w:eastAsia="es-CO"/>
              </w:rPr>
            </w:pPr>
            <w:r w:rsidRPr="00EE7842">
              <w:rPr>
                <w:rFonts w:eastAsia="Times New Roman" w:cs="Times New Roman"/>
                <w:color w:val="FFFFFF"/>
                <w:sz w:val="18"/>
                <w:szCs w:val="18"/>
                <w:lang w:val="es-CO" w:eastAsia="es-CO"/>
              </w:rPr>
              <w:t>CAJA NACIONAL DE PREVISION SOCIAL-CAJANAL EICE EN LIQUIDACION</w:t>
            </w:r>
          </w:p>
        </w:tc>
        <w:tc>
          <w:tcPr>
            <w:tcW w:w="1793" w:type="dxa"/>
            <w:tcBorders>
              <w:top w:val="nil"/>
              <w:left w:val="nil"/>
              <w:bottom w:val="nil"/>
              <w:right w:val="nil"/>
            </w:tcBorders>
            <w:shd w:val="clear" w:color="000000" w:fill="FFFFFF"/>
            <w:vAlign w:val="bottom"/>
            <w:hideMark/>
          </w:tcPr>
          <w:p w14:paraId="5DB81F6D"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11.774</w:t>
            </w:r>
          </w:p>
        </w:tc>
        <w:tc>
          <w:tcPr>
            <w:tcW w:w="1893" w:type="dxa"/>
            <w:tcBorders>
              <w:top w:val="nil"/>
              <w:left w:val="nil"/>
              <w:bottom w:val="nil"/>
              <w:right w:val="nil"/>
            </w:tcBorders>
            <w:shd w:val="clear" w:color="000000" w:fill="FFFFFF"/>
            <w:vAlign w:val="bottom"/>
            <w:hideMark/>
          </w:tcPr>
          <w:p w14:paraId="7B9A8158" w14:textId="77777777" w:rsidR="003B41C3" w:rsidRPr="00EE7842" w:rsidRDefault="003B41C3" w:rsidP="003B41C3">
            <w:pPr>
              <w:spacing w:after="0"/>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$ 156.952.319.691</w:t>
            </w:r>
          </w:p>
        </w:tc>
      </w:tr>
      <w:tr w:rsidR="003B41C3" w:rsidRPr="00496BBC" w14:paraId="2621BB7E" w14:textId="77777777" w:rsidTr="003B41C3">
        <w:trPr>
          <w:trHeight w:val="245"/>
        </w:trPr>
        <w:tc>
          <w:tcPr>
            <w:tcW w:w="567" w:type="dxa"/>
            <w:tcBorders>
              <w:top w:val="nil"/>
              <w:left w:val="nil"/>
              <w:bottom w:val="nil"/>
              <w:right w:val="nil"/>
            </w:tcBorders>
            <w:shd w:val="clear" w:color="000000" w:fill="FFFFFF"/>
            <w:vAlign w:val="bottom"/>
            <w:hideMark/>
          </w:tcPr>
          <w:p w14:paraId="32E16721"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8</w:t>
            </w:r>
          </w:p>
        </w:tc>
        <w:tc>
          <w:tcPr>
            <w:tcW w:w="5103" w:type="dxa"/>
            <w:tcBorders>
              <w:top w:val="nil"/>
              <w:left w:val="nil"/>
              <w:bottom w:val="nil"/>
              <w:right w:val="nil"/>
            </w:tcBorders>
            <w:shd w:val="clear" w:color="auto" w:fill="548DD4" w:themeFill="text2" w:themeFillTint="99"/>
            <w:vAlign w:val="bottom"/>
            <w:hideMark/>
          </w:tcPr>
          <w:p w14:paraId="0C3E3016" w14:textId="77777777" w:rsidR="003B41C3" w:rsidRPr="00EE7842" w:rsidRDefault="003B41C3" w:rsidP="003B41C3">
            <w:pPr>
              <w:spacing w:after="0"/>
              <w:rPr>
                <w:rFonts w:eastAsia="Times New Roman" w:cs="Times New Roman"/>
                <w:color w:val="FFFFFF"/>
                <w:sz w:val="18"/>
                <w:szCs w:val="18"/>
                <w:lang w:val="es-CO" w:eastAsia="es-CO"/>
              </w:rPr>
            </w:pPr>
            <w:r w:rsidRPr="00EE7842">
              <w:rPr>
                <w:rFonts w:eastAsia="Times New Roman" w:cs="Times New Roman"/>
                <w:color w:val="FFFFFF"/>
                <w:sz w:val="18"/>
                <w:szCs w:val="18"/>
                <w:lang w:val="es-CO" w:eastAsia="es-CO"/>
              </w:rPr>
              <w:t>FISCALIA GENERAL DE LA NACION</w:t>
            </w:r>
          </w:p>
        </w:tc>
        <w:tc>
          <w:tcPr>
            <w:tcW w:w="1793" w:type="dxa"/>
            <w:tcBorders>
              <w:top w:val="nil"/>
              <w:left w:val="nil"/>
              <w:bottom w:val="nil"/>
              <w:right w:val="nil"/>
            </w:tcBorders>
            <w:shd w:val="clear" w:color="000000" w:fill="FFFFFF"/>
            <w:vAlign w:val="bottom"/>
            <w:hideMark/>
          </w:tcPr>
          <w:p w14:paraId="48C78054"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10.983</w:t>
            </w:r>
          </w:p>
        </w:tc>
        <w:tc>
          <w:tcPr>
            <w:tcW w:w="1893" w:type="dxa"/>
            <w:tcBorders>
              <w:top w:val="nil"/>
              <w:left w:val="nil"/>
              <w:bottom w:val="nil"/>
              <w:right w:val="nil"/>
            </w:tcBorders>
            <w:shd w:val="clear" w:color="000000" w:fill="FFFFFF"/>
            <w:vAlign w:val="bottom"/>
            <w:hideMark/>
          </w:tcPr>
          <w:p w14:paraId="2892E32B" w14:textId="77777777" w:rsidR="003B41C3" w:rsidRPr="00EE7842" w:rsidRDefault="003B41C3" w:rsidP="003B41C3">
            <w:pPr>
              <w:spacing w:after="0"/>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$ 34.307.086.550.564</w:t>
            </w:r>
          </w:p>
        </w:tc>
      </w:tr>
      <w:tr w:rsidR="003B41C3" w:rsidRPr="00496BBC" w14:paraId="4A7955F3" w14:textId="77777777" w:rsidTr="003B41C3">
        <w:trPr>
          <w:trHeight w:val="245"/>
        </w:trPr>
        <w:tc>
          <w:tcPr>
            <w:tcW w:w="567" w:type="dxa"/>
            <w:tcBorders>
              <w:top w:val="nil"/>
              <w:left w:val="nil"/>
              <w:bottom w:val="nil"/>
              <w:right w:val="nil"/>
            </w:tcBorders>
            <w:shd w:val="clear" w:color="000000" w:fill="FFFFFF"/>
            <w:vAlign w:val="bottom"/>
            <w:hideMark/>
          </w:tcPr>
          <w:p w14:paraId="7722A690"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9</w:t>
            </w:r>
          </w:p>
        </w:tc>
        <w:tc>
          <w:tcPr>
            <w:tcW w:w="5103" w:type="dxa"/>
            <w:tcBorders>
              <w:top w:val="nil"/>
              <w:left w:val="nil"/>
              <w:bottom w:val="nil"/>
              <w:right w:val="nil"/>
            </w:tcBorders>
            <w:shd w:val="clear" w:color="auto" w:fill="548DD4" w:themeFill="text2" w:themeFillTint="99"/>
            <w:vAlign w:val="bottom"/>
            <w:hideMark/>
          </w:tcPr>
          <w:p w14:paraId="075CE1B2" w14:textId="77777777" w:rsidR="003B41C3" w:rsidRPr="00EE7842" w:rsidRDefault="003B41C3" w:rsidP="003B41C3">
            <w:pPr>
              <w:spacing w:after="0"/>
              <w:rPr>
                <w:rFonts w:eastAsia="Times New Roman" w:cs="Times New Roman"/>
                <w:color w:val="FFFFFF"/>
                <w:sz w:val="18"/>
                <w:szCs w:val="18"/>
                <w:lang w:val="es-CO" w:eastAsia="es-CO"/>
              </w:rPr>
            </w:pPr>
            <w:r w:rsidRPr="00EE7842">
              <w:rPr>
                <w:rFonts w:eastAsia="Times New Roman" w:cs="Times New Roman"/>
                <w:color w:val="FFFFFF"/>
                <w:sz w:val="18"/>
                <w:szCs w:val="18"/>
                <w:lang w:val="es-CO" w:eastAsia="es-CO"/>
              </w:rPr>
              <w:t>ADMINISTRADORA COLOMBIANA DE PENSIONES-COLPENSIONES</w:t>
            </w:r>
          </w:p>
        </w:tc>
        <w:tc>
          <w:tcPr>
            <w:tcW w:w="1793" w:type="dxa"/>
            <w:tcBorders>
              <w:top w:val="nil"/>
              <w:left w:val="nil"/>
              <w:bottom w:val="nil"/>
              <w:right w:val="nil"/>
            </w:tcBorders>
            <w:shd w:val="clear" w:color="000000" w:fill="FFFFFF"/>
            <w:vAlign w:val="bottom"/>
            <w:hideMark/>
          </w:tcPr>
          <w:p w14:paraId="114B150D"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9.363</w:t>
            </w:r>
          </w:p>
        </w:tc>
        <w:tc>
          <w:tcPr>
            <w:tcW w:w="1893" w:type="dxa"/>
            <w:tcBorders>
              <w:top w:val="nil"/>
              <w:left w:val="nil"/>
              <w:bottom w:val="nil"/>
              <w:right w:val="nil"/>
            </w:tcBorders>
            <w:shd w:val="clear" w:color="000000" w:fill="FFFFFF"/>
            <w:vAlign w:val="bottom"/>
            <w:hideMark/>
          </w:tcPr>
          <w:p w14:paraId="08734DB9" w14:textId="77777777" w:rsidR="003B41C3" w:rsidRPr="00EE7842" w:rsidRDefault="003B41C3" w:rsidP="003B41C3">
            <w:pPr>
              <w:spacing w:after="0"/>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$ 143.418.046.072</w:t>
            </w:r>
          </w:p>
        </w:tc>
      </w:tr>
      <w:tr w:rsidR="003B41C3" w:rsidRPr="00496BBC" w14:paraId="1E7AB9BE" w14:textId="77777777" w:rsidTr="003B41C3">
        <w:trPr>
          <w:trHeight w:val="245"/>
        </w:trPr>
        <w:tc>
          <w:tcPr>
            <w:tcW w:w="567" w:type="dxa"/>
            <w:tcBorders>
              <w:top w:val="nil"/>
              <w:left w:val="nil"/>
              <w:bottom w:val="nil"/>
              <w:right w:val="nil"/>
            </w:tcBorders>
            <w:shd w:val="clear" w:color="000000" w:fill="FFFFFF"/>
            <w:vAlign w:val="bottom"/>
            <w:hideMark/>
          </w:tcPr>
          <w:p w14:paraId="2BE31768"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10</w:t>
            </w:r>
          </w:p>
        </w:tc>
        <w:tc>
          <w:tcPr>
            <w:tcW w:w="5103" w:type="dxa"/>
            <w:tcBorders>
              <w:top w:val="nil"/>
              <w:left w:val="nil"/>
              <w:bottom w:val="nil"/>
              <w:right w:val="nil"/>
            </w:tcBorders>
            <w:shd w:val="clear" w:color="auto" w:fill="548DD4" w:themeFill="text2" w:themeFillTint="99"/>
            <w:vAlign w:val="bottom"/>
            <w:hideMark/>
          </w:tcPr>
          <w:p w14:paraId="4205B93D" w14:textId="77777777" w:rsidR="003B41C3" w:rsidRPr="00EE7842" w:rsidRDefault="003B41C3" w:rsidP="003B41C3">
            <w:pPr>
              <w:spacing w:after="0"/>
              <w:rPr>
                <w:rFonts w:eastAsia="Times New Roman" w:cs="Times New Roman"/>
                <w:color w:val="FFFFFF"/>
                <w:sz w:val="18"/>
                <w:szCs w:val="18"/>
                <w:lang w:val="es-CO" w:eastAsia="es-CO"/>
              </w:rPr>
            </w:pPr>
            <w:r w:rsidRPr="00EE7842">
              <w:rPr>
                <w:rFonts w:eastAsia="Times New Roman" w:cs="Times New Roman"/>
                <w:color w:val="FFFFFF"/>
                <w:sz w:val="18"/>
                <w:szCs w:val="18"/>
                <w:lang w:val="es-CO" w:eastAsia="es-CO"/>
              </w:rPr>
              <w:t>DIRECCION EJECUTIVA DE ADMINISTRACION JUDICIAL</w:t>
            </w:r>
          </w:p>
        </w:tc>
        <w:tc>
          <w:tcPr>
            <w:tcW w:w="1793" w:type="dxa"/>
            <w:tcBorders>
              <w:top w:val="nil"/>
              <w:left w:val="nil"/>
              <w:bottom w:val="nil"/>
              <w:right w:val="nil"/>
            </w:tcBorders>
            <w:shd w:val="clear" w:color="000000" w:fill="FFFFFF"/>
            <w:vAlign w:val="bottom"/>
            <w:hideMark/>
          </w:tcPr>
          <w:p w14:paraId="70A0256F" w14:textId="77777777" w:rsidR="003B41C3" w:rsidRPr="00EE7842" w:rsidRDefault="003B41C3" w:rsidP="003B41C3">
            <w:pPr>
              <w:spacing w:after="0"/>
              <w:jc w:val="center"/>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6.935</w:t>
            </w:r>
          </w:p>
        </w:tc>
        <w:tc>
          <w:tcPr>
            <w:tcW w:w="1893" w:type="dxa"/>
            <w:tcBorders>
              <w:top w:val="nil"/>
              <w:left w:val="nil"/>
              <w:bottom w:val="nil"/>
              <w:right w:val="nil"/>
            </w:tcBorders>
            <w:shd w:val="clear" w:color="000000" w:fill="FFFFFF"/>
            <w:vAlign w:val="bottom"/>
            <w:hideMark/>
          </w:tcPr>
          <w:p w14:paraId="4AC91014" w14:textId="77777777" w:rsidR="003B41C3" w:rsidRPr="00EE7842" w:rsidRDefault="003B41C3" w:rsidP="003B41C3">
            <w:pPr>
              <w:spacing w:after="0"/>
              <w:rPr>
                <w:rFonts w:eastAsia="Times New Roman" w:cs="Times New Roman"/>
                <w:color w:val="000000"/>
                <w:sz w:val="18"/>
                <w:szCs w:val="18"/>
                <w:lang w:val="es-CO" w:eastAsia="es-CO"/>
              </w:rPr>
            </w:pPr>
            <w:r w:rsidRPr="00EE7842">
              <w:rPr>
                <w:rFonts w:eastAsia="Times New Roman" w:cs="Times New Roman"/>
                <w:color w:val="000000"/>
                <w:sz w:val="18"/>
                <w:szCs w:val="18"/>
                <w:lang w:val="es-CO" w:eastAsia="es-CO"/>
              </w:rPr>
              <w:t>$ 11.410.159.066.427</w:t>
            </w:r>
          </w:p>
        </w:tc>
      </w:tr>
      <w:tr w:rsidR="0054072E" w:rsidRPr="00496BBC" w14:paraId="2F88B09A" w14:textId="77777777" w:rsidTr="003B41C3">
        <w:trPr>
          <w:trHeight w:val="245"/>
        </w:trPr>
        <w:tc>
          <w:tcPr>
            <w:tcW w:w="567" w:type="dxa"/>
            <w:tcBorders>
              <w:top w:val="nil"/>
              <w:left w:val="nil"/>
              <w:bottom w:val="nil"/>
              <w:right w:val="nil"/>
            </w:tcBorders>
            <w:shd w:val="clear" w:color="000000" w:fill="FFFFFF"/>
            <w:vAlign w:val="bottom"/>
          </w:tcPr>
          <w:p w14:paraId="323B6676" w14:textId="77777777" w:rsidR="0054072E" w:rsidRPr="00EE7842" w:rsidRDefault="0054072E" w:rsidP="003B41C3">
            <w:pPr>
              <w:spacing w:after="0"/>
              <w:jc w:val="center"/>
              <w:rPr>
                <w:rFonts w:eastAsia="Times New Roman" w:cs="Times New Roman"/>
                <w:color w:val="000000"/>
                <w:sz w:val="18"/>
                <w:szCs w:val="18"/>
                <w:lang w:val="es-CO" w:eastAsia="es-CO"/>
              </w:rPr>
            </w:pPr>
          </w:p>
        </w:tc>
        <w:tc>
          <w:tcPr>
            <w:tcW w:w="5103" w:type="dxa"/>
            <w:tcBorders>
              <w:top w:val="nil"/>
              <w:left w:val="nil"/>
              <w:bottom w:val="nil"/>
              <w:right w:val="nil"/>
            </w:tcBorders>
            <w:shd w:val="clear" w:color="auto" w:fill="548DD4" w:themeFill="text2" w:themeFillTint="99"/>
            <w:vAlign w:val="bottom"/>
          </w:tcPr>
          <w:p w14:paraId="2BD67D62" w14:textId="77777777" w:rsidR="0054072E" w:rsidRPr="00EE7842" w:rsidRDefault="0054072E" w:rsidP="003B41C3">
            <w:pPr>
              <w:spacing w:after="0"/>
              <w:rPr>
                <w:rFonts w:eastAsia="Times New Roman" w:cs="Times New Roman"/>
                <w:color w:val="FFFFFF"/>
                <w:sz w:val="18"/>
                <w:szCs w:val="18"/>
                <w:lang w:val="es-CO" w:eastAsia="es-CO"/>
              </w:rPr>
            </w:pPr>
          </w:p>
        </w:tc>
        <w:tc>
          <w:tcPr>
            <w:tcW w:w="1793" w:type="dxa"/>
            <w:tcBorders>
              <w:top w:val="nil"/>
              <w:left w:val="nil"/>
              <w:bottom w:val="nil"/>
              <w:right w:val="nil"/>
            </w:tcBorders>
            <w:shd w:val="clear" w:color="000000" w:fill="FFFFFF"/>
            <w:vAlign w:val="bottom"/>
          </w:tcPr>
          <w:p w14:paraId="5E94DB23" w14:textId="77777777" w:rsidR="0054072E" w:rsidRPr="00EE7842" w:rsidRDefault="0054072E" w:rsidP="003B41C3">
            <w:pPr>
              <w:spacing w:after="0"/>
              <w:jc w:val="center"/>
              <w:rPr>
                <w:rFonts w:eastAsia="Times New Roman" w:cs="Times New Roman"/>
                <w:color w:val="000000"/>
                <w:sz w:val="18"/>
                <w:szCs w:val="18"/>
                <w:lang w:val="es-CO" w:eastAsia="es-CO"/>
              </w:rPr>
            </w:pPr>
          </w:p>
        </w:tc>
        <w:tc>
          <w:tcPr>
            <w:tcW w:w="1893" w:type="dxa"/>
            <w:tcBorders>
              <w:top w:val="nil"/>
              <w:left w:val="nil"/>
              <w:bottom w:val="nil"/>
              <w:right w:val="nil"/>
            </w:tcBorders>
            <w:shd w:val="clear" w:color="000000" w:fill="FFFFFF"/>
            <w:vAlign w:val="bottom"/>
          </w:tcPr>
          <w:p w14:paraId="0FA7B2F2" w14:textId="77777777" w:rsidR="0054072E" w:rsidRPr="00EE7842" w:rsidRDefault="0054072E" w:rsidP="003B41C3">
            <w:pPr>
              <w:spacing w:after="0"/>
              <w:rPr>
                <w:rFonts w:eastAsia="Times New Roman" w:cs="Times New Roman"/>
                <w:color w:val="000000"/>
                <w:sz w:val="18"/>
                <w:szCs w:val="18"/>
                <w:lang w:val="es-CO" w:eastAsia="es-CO"/>
              </w:rPr>
            </w:pPr>
          </w:p>
        </w:tc>
      </w:tr>
    </w:tbl>
    <w:p w14:paraId="653465C5" w14:textId="77777777" w:rsidR="003B41C3" w:rsidRPr="00EE7842" w:rsidRDefault="003B41C3" w:rsidP="003B41C3">
      <w:pPr>
        <w:ind w:right="-283"/>
        <w:jc w:val="center"/>
        <w:rPr>
          <w:rFonts w:cs="Arial"/>
          <w:b/>
          <w:sz w:val="20"/>
          <w:szCs w:val="20"/>
        </w:rPr>
      </w:pPr>
      <w:r w:rsidRPr="009915EB">
        <w:rPr>
          <w:rFonts w:cs="Arial"/>
          <w:b/>
          <w:sz w:val="18"/>
          <w:szCs w:val="18"/>
        </w:rPr>
        <w:t xml:space="preserve">Fuente: Sistema Único de Gestión e </w:t>
      </w:r>
      <w:r w:rsidRPr="00284617">
        <w:rPr>
          <w:rFonts w:cs="Arial"/>
          <w:b/>
          <w:sz w:val="18"/>
          <w:szCs w:val="18"/>
        </w:rPr>
        <w:t>Información de la Actividad Litigiosa del Estado (</w:t>
      </w:r>
      <w:proofErr w:type="spellStart"/>
      <w:r w:rsidRPr="00284617">
        <w:rPr>
          <w:rFonts w:cs="Arial"/>
          <w:b/>
          <w:sz w:val="18"/>
          <w:szCs w:val="18"/>
        </w:rPr>
        <w:t>Sep</w:t>
      </w:r>
      <w:proofErr w:type="spellEnd"/>
      <w:r w:rsidRPr="00284617">
        <w:rPr>
          <w:rFonts w:cs="Arial"/>
          <w:b/>
          <w:sz w:val="18"/>
          <w:szCs w:val="18"/>
        </w:rPr>
        <w:t xml:space="preserve"> 30 de 2013). Cálculos: </w:t>
      </w:r>
      <w:r w:rsidRPr="0060006B">
        <w:rPr>
          <w:rFonts w:cs="Arial"/>
          <w:b/>
          <w:sz w:val="18"/>
          <w:szCs w:val="18"/>
        </w:rPr>
        <w:t>DGI-ANDJE</w:t>
      </w:r>
    </w:p>
    <w:p w14:paraId="263115CD" w14:textId="77777777" w:rsidR="003B41C3" w:rsidRDefault="003B41C3" w:rsidP="003B41C3">
      <w:pPr>
        <w:jc w:val="center"/>
        <w:rPr>
          <w:b/>
          <w:sz w:val="20"/>
          <w:szCs w:val="20"/>
          <w:lang w:val="es-CO"/>
        </w:rPr>
      </w:pPr>
    </w:p>
    <w:p w14:paraId="441E2E24" w14:textId="77777777" w:rsidR="003B41C3" w:rsidRDefault="003B41C3" w:rsidP="003B41C3">
      <w:pPr>
        <w:jc w:val="center"/>
        <w:rPr>
          <w:b/>
          <w:sz w:val="20"/>
          <w:szCs w:val="20"/>
          <w:lang w:val="es-CO"/>
        </w:rPr>
      </w:pPr>
    </w:p>
    <w:p w14:paraId="54DCFEA8" w14:textId="77777777" w:rsidR="003B41C3" w:rsidRDefault="003B41C3" w:rsidP="003B41C3">
      <w:pPr>
        <w:jc w:val="center"/>
        <w:rPr>
          <w:b/>
          <w:sz w:val="20"/>
          <w:szCs w:val="20"/>
          <w:lang w:val="es-CO"/>
        </w:rPr>
      </w:pPr>
    </w:p>
    <w:p w14:paraId="3D225C3B" w14:textId="77777777" w:rsidR="003B41C3" w:rsidRPr="00EE7842" w:rsidRDefault="003B41C3" w:rsidP="003B41C3">
      <w:pPr>
        <w:jc w:val="center"/>
        <w:rPr>
          <w:b/>
          <w:sz w:val="20"/>
          <w:szCs w:val="20"/>
          <w:lang w:val="es-CO"/>
        </w:rPr>
      </w:pPr>
      <w:r w:rsidRPr="00EE7842">
        <w:rPr>
          <w:b/>
          <w:sz w:val="20"/>
          <w:szCs w:val="20"/>
          <w:lang w:val="es-CO"/>
        </w:rPr>
        <w:t>Tabla 5. Diez entidades con mayores pretensiones en contra</w:t>
      </w:r>
    </w:p>
    <w:tbl>
      <w:tblPr>
        <w:tblW w:w="9137" w:type="dxa"/>
        <w:tblCellMar>
          <w:left w:w="70" w:type="dxa"/>
          <w:right w:w="70" w:type="dxa"/>
        </w:tblCellMar>
        <w:tblLook w:val="04A0" w:firstRow="1" w:lastRow="0" w:firstColumn="1" w:lastColumn="0" w:noHBand="0" w:noVBand="1"/>
      </w:tblPr>
      <w:tblGrid>
        <w:gridCol w:w="562"/>
        <w:gridCol w:w="5108"/>
        <w:gridCol w:w="1780"/>
        <w:gridCol w:w="1687"/>
      </w:tblGrid>
      <w:tr w:rsidR="003B41C3" w:rsidRPr="002B53FD" w14:paraId="7F067745" w14:textId="77777777" w:rsidTr="003B41C3">
        <w:trPr>
          <w:trHeight w:val="329"/>
        </w:trPr>
        <w:tc>
          <w:tcPr>
            <w:tcW w:w="562" w:type="dxa"/>
            <w:tcBorders>
              <w:top w:val="nil"/>
              <w:left w:val="nil"/>
              <w:bottom w:val="nil"/>
              <w:right w:val="nil"/>
            </w:tcBorders>
            <w:shd w:val="clear" w:color="auto" w:fill="548DD4" w:themeFill="text2" w:themeFillTint="99"/>
            <w:vAlign w:val="center"/>
            <w:hideMark/>
          </w:tcPr>
          <w:p w14:paraId="6A391E2B" w14:textId="77777777" w:rsidR="003B41C3" w:rsidRPr="00496BBC" w:rsidRDefault="003B41C3" w:rsidP="003B41C3">
            <w:pPr>
              <w:spacing w:after="0"/>
              <w:jc w:val="center"/>
              <w:rPr>
                <w:rFonts w:ascii="Cambria" w:eastAsia="Times New Roman" w:hAnsi="Cambria" w:cs="Times New Roman"/>
                <w:b/>
                <w:bCs/>
                <w:color w:val="FFFFFF"/>
                <w:sz w:val="20"/>
                <w:szCs w:val="20"/>
                <w:lang w:val="es-CO" w:eastAsia="es-CO"/>
              </w:rPr>
            </w:pPr>
            <w:r w:rsidRPr="00496BBC">
              <w:rPr>
                <w:rFonts w:ascii="Cambria" w:eastAsia="Times New Roman" w:hAnsi="Cambria" w:cs="Times New Roman"/>
                <w:b/>
                <w:bCs/>
                <w:color w:val="FFFFFF"/>
                <w:sz w:val="20"/>
                <w:szCs w:val="20"/>
                <w:lang w:val="es-CO" w:eastAsia="es-CO"/>
              </w:rPr>
              <w:t>No.</w:t>
            </w:r>
          </w:p>
        </w:tc>
        <w:tc>
          <w:tcPr>
            <w:tcW w:w="5108" w:type="dxa"/>
            <w:tcBorders>
              <w:top w:val="nil"/>
              <w:left w:val="nil"/>
              <w:bottom w:val="nil"/>
              <w:right w:val="nil"/>
            </w:tcBorders>
            <w:shd w:val="clear" w:color="auto" w:fill="548DD4" w:themeFill="text2" w:themeFillTint="99"/>
            <w:vAlign w:val="center"/>
            <w:hideMark/>
          </w:tcPr>
          <w:p w14:paraId="2C47568D" w14:textId="77777777" w:rsidR="003B41C3" w:rsidRPr="00496BBC" w:rsidRDefault="003B41C3" w:rsidP="003B41C3">
            <w:pPr>
              <w:spacing w:after="0"/>
              <w:jc w:val="center"/>
              <w:rPr>
                <w:rFonts w:ascii="Cambria" w:eastAsia="Times New Roman" w:hAnsi="Cambria" w:cs="Times New Roman"/>
                <w:b/>
                <w:bCs/>
                <w:color w:val="FFFFFF"/>
                <w:sz w:val="20"/>
                <w:szCs w:val="20"/>
                <w:lang w:val="es-CO" w:eastAsia="es-CO"/>
              </w:rPr>
            </w:pPr>
            <w:r w:rsidRPr="00496BBC">
              <w:rPr>
                <w:rFonts w:ascii="Cambria" w:eastAsia="Times New Roman" w:hAnsi="Cambria" w:cs="Times New Roman"/>
                <w:b/>
                <w:bCs/>
                <w:color w:val="FFFFFF"/>
                <w:sz w:val="20"/>
                <w:szCs w:val="20"/>
                <w:lang w:val="es-CO" w:eastAsia="es-CO"/>
              </w:rPr>
              <w:t>Entidad</w:t>
            </w:r>
          </w:p>
        </w:tc>
        <w:tc>
          <w:tcPr>
            <w:tcW w:w="1780" w:type="dxa"/>
            <w:tcBorders>
              <w:top w:val="nil"/>
              <w:left w:val="nil"/>
              <w:bottom w:val="nil"/>
              <w:right w:val="nil"/>
            </w:tcBorders>
            <w:shd w:val="clear" w:color="auto" w:fill="548DD4" w:themeFill="text2" w:themeFillTint="99"/>
            <w:vAlign w:val="center"/>
            <w:hideMark/>
          </w:tcPr>
          <w:p w14:paraId="47D02D86" w14:textId="77777777" w:rsidR="003B41C3" w:rsidRPr="00496BBC" w:rsidRDefault="003B41C3" w:rsidP="003B41C3">
            <w:pPr>
              <w:spacing w:after="0"/>
              <w:jc w:val="center"/>
              <w:rPr>
                <w:rFonts w:ascii="Cambria" w:eastAsia="Times New Roman" w:hAnsi="Cambria" w:cs="Times New Roman"/>
                <w:b/>
                <w:bCs/>
                <w:color w:val="FFFFFF"/>
                <w:sz w:val="20"/>
                <w:szCs w:val="20"/>
                <w:lang w:val="es-CO" w:eastAsia="es-CO"/>
              </w:rPr>
            </w:pPr>
            <w:r w:rsidRPr="00496BBC">
              <w:rPr>
                <w:rFonts w:ascii="Cambria" w:eastAsia="Times New Roman" w:hAnsi="Cambria" w:cs="Times New Roman"/>
                <w:b/>
                <w:bCs/>
                <w:color w:val="FFFFFF"/>
                <w:sz w:val="20"/>
                <w:szCs w:val="20"/>
                <w:lang w:val="es-CO" w:eastAsia="es-CO"/>
              </w:rPr>
              <w:t>No. procesos</w:t>
            </w:r>
          </w:p>
        </w:tc>
        <w:tc>
          <w:tcPr>
            <w:tcW w:w="1687" w:type="dxa"/>
            <w:tcBorders>
              <w:top w:val="nil"/>
              <w:left w:val="nil"/>
              <w:bottom w:val="nil"/>
              <w:right w:val="nil"/>
            </w:tcBorders>
            <w:shd w:val="clear" w:color="auto" w:fill="548DD4" w:themeFill="text2" w:themeFillTint="99"/>
            <w:vAlign w:val="center"/>
            <w:hideMark/>
          </w:tcPr>
          <w:p w14:paraId="186F4067" w14:textId="77777777" w:rsidR="003B41C3" w:rsidRPr="00496BBC" w:rsidRDefault="003B41C3" w:rsidP="003B41C3">
            <w:pPr>
              <w:spacing w:after="0"/>
              <w:jc w:val="center"/>
              <w:rPr>
                <w:rFonts w:ascii="Cambria" w:eastAsia="Times New Roman" w:hAnsi="Cambria" w:cs="Times New Roman"/>
                <w:b/>
                <w:bCs/>
                <w:color w:val="FFFFFF"/>
                <w:sz w:val="20"/>
                <w:szCs w:val="20"/>
                <w:lang w:val="es-CO" w:eastAsia="es-CO"/>
              </w:rPr>
            </w:pPr>
            <w:r w:rsidRPr="00496BBC">
              <w:rPr>
                <w:rFonts w:ascii="Cambria" w:eastAsia="Times New Roman" w:hAnsi="Cambria" w:cs="Times New Roman"/>
                <w:b/>
                <w:bCs/>
                <w:color w:val="FFFFFF"/>
                <w:sz w:val="20"/>
                <w:szCs w:val="20"/>
                <w:lang w:val="es-CO" w:eastAsia="es-CO"/>
              </w:rPr>
              <w:t>Valor</w:t>
            </w:r>
          </w:p>
        </w:tc>
      </w:tr>
      <w:tr w:rsidR="003B41C3" w:rsidRPr="002B53FD" w14:paraId="76CB65F7" w14:textId="77777777" w:rsidTr="003B41C3">
        <w:trPr>
          <w:trHeight w:val="185"/>
        </w:trPr>
        <w:tc>
          <w:tcPr>
            <w:tcW w:w="562" w:type="dxa"/>
            <w:tcBorders>
              <w:top w:val="nil"/>
              <w:left w:val="nil"/>
              <w:bottom w:val="nil"/>
              <w:right w:val="nil"/>
            </w:tcBorders>
            <w:shd w:val="clear" w:color="000000" w:fill="FFFFFF"/>
            <w:vAlign w:val="bottom"/>
            <w:hideMark/>
          </w:tcPr>
          <w:p w14:paraId="361A99B0"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1</w:t>
            </w:r>
          </w:p>
        </w:tc>
        <w:tc>
          <w:tcPr>
            <w:tcW w:w="5108" w:type="dxa"/>
            <w:tcBorders>
              <w:top w:val="nil"/>
              <w:left w:val="nil"/>
              <w:bottom w:val="nil"/>
              <w:right w:val="nil"/>
            </w:tcBorders>
            <w:shd w:val="clear" w:color="auto" w:fill="548DD4" w:themeFill="text2" w:themeFillTint="99"/>
            <w:vAlign w:val="center"/>
            <w:hideMark/>
          </w:tcPr>
          <w:p w14:paraId="3586C616" w14:textId="77777777" w:rsidR="003B41C3" w:rsidRPr="00496BBC" w:rsidRDefault="003B41C3" w:rsidP="003B41C3">
            <w:pPr>
              <w:spacing w:after="0"/>
              <w:rPr>
                <w:rFonts w:ascii="Cambria" w:eastAsia="Times New Roman" w:hAnsi="Cambria" w:cs="Times New Roman"/>
                <w:b/>
                <w:bCs/>
                <w:color w:val="FFFFFF"/>
                <w:sz w:val="20"/>
                <w:szCs w:val="20"/>
                <w:lang w:val="es-CO" w:eastAsia="es-CO"/>
              </w:rPr>
            </w:pPr>
            <w:r w:rsidRPr="00496BBC">
              <w:rPr>
                <w:rFonts w:ascii="Cambria" w:eastAsia="Times New Roman" w:hAnsi="Cambria" w:cs="Times New Roman"/>
                <w:b/>
                <w:bCs/>
                <w:color w:val="FFFFFF"/>
                <w:sz w:val="20"/>
                <w:szCs w:val="20"/>
                <w:lang w:val="es-CO" w:eastAsia="es-CO"/>
              </w:rPr>
              <w:t>SUPERINTENDENCIA FINANCIERA DE COLOMBIA</w:t>
            </w:r>
          </w:p>
        </w:tc>
        <w:tc>
          <w:tcPr>
            <w:tcW w:w="1780" w:type="dxa"/>
            <w:tcBorders>
              <w:top w:val="nil"/>
              <w:left w:val="nil"/>
              <w:bottom w:val="nil"/>
              <w:right w:val="nil"/>
            </w:tcBorders>
            <w:shd w:val="clear" w:color="000000" w:fill="FFFFFF"/>
            <w:vAlign w:val="bottom"/>
            <w:hideMark/>
          </w:tcPr>
          <w:p w14:paraId="0E6A08F8"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912</w:t>
            </w:r>
          </w:p>
        </w:tc>
        <w:tc>
          <w:tcPr>
            <w:tcW w:w="1687" w:type="dxa"/>
            <w:tcBorders>
              <w:top w:val="nil"/>
              <w:left w:val="nil"/>
              <w:bottom w:val="nil"/>
              <w:right w:val="nil"/>
            </w:tcBorders>
            <w:shd w:val="clear" w:color="000000" w:fill="FFFFFF"/>
            <w:vAlign w:val="bottom"/>
            <w:hideMark/>
          </w:tcPr>
          <w:p w14:paraId="14E6D6CE"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$ 54.239.536.442.432</w:t>
            </w:r>
          </w:p>
        </w:tc>
      </w:tr>
      <w:tr w:rsidR="003B41C3" w:rsidRPr="002B53FD" w14:paraId="39F4511F" w14:textId="77777777" w:rsidTr="003B41C3">
        <w:trPr>
          <w:trHeight w:val="126"/>
        </w:trPr>
        <w:tc>
          <w:tcPr>
            <w:tcW w:w="562" w:type="dxa"/>
            <w:tcBorders>
              <w:top w:val="nil"/>
              <w:left w:val="nil"/>
              <w:bottom w:val="nil"/>
              <w:right w:val="nil"/>
            </w:tcBorders>
            <w:shd w:val="clear" w:color="000000" w:fill="FFFFFF"/>
            <w:vAlign w:val="bottom"/>
            <w:hideMark/>
          </w:tcPr>
          <w:p w14:paraId="7413995B"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2</w:t>
            </w:r>
          </w:p>
        </w:tc>
        <w:tc>
          <w:tcPr>
            <w:tcW w:w="5108" w:type="dxa"/>
            <w:tcBorders>
              <w:top w:val="nil"/>
              <w:left w:val="nil"/>
              <w:bottom w:val="nil"/>
              <w:right w:val="nil"/>
            </w:tcBorders>
            <w:shd w:val="clear" w:color="auto" w:fill="548DD4" w:themeFill="text2" w:themeFillTint="99"/>
            <w:vAlign w:val="bottom"/>
            <w:hideMark/>
          </w:tcPr>
          <w:p w14:paraId="2EEF362A" w14:textId="77777777" w:rsidR="003B41C3" w:rsidRPr="00496BBC" w:rsidRDefault="003B41C3" w:rsidP="003B41C3">
            <w:pPr>
              <w:spacing w:after="0"/>
              <w:rPr>
                <w:rFonts w:ascii="Cambria" w:eastAsia="Times New Roman" w:hAnsi="Cambria" w:cs="Times New Roman"/>
                <w:color w:val="FFFFFF"/>
                <w:sz w:val="20"/>
                <w:szCs w:val="20"/>
                <w:lang w:val="es-CO" w:eastAsia="es-CO"/>
              </w:rPr>
            </w:pPr>
            <w:r w:rsidRPr="00496BBC">
              <w:rPr>
                <w:rFonts w:ascii="Cambria" w:eastAsia="Times New Roman" w:hAnsi="Cambria" w:cs="Times New Roman"/>
                <w:color w:val="FFFFFF"/>
                <w:sz w:val="20"/>
                <w:szCs w:val="20"/>
                <w:lang w:val="es-CO" w:eastAsia="es-CO"/>
              </w:rPr>
              <w:t>MINISTERIO DE HACIENDA Y CREDITO PUBLICO</w:t>
            </w:r>
          </w:p>
        </w:tc>
        <w:tc>
          <w:tcPr>
            <w:tcW w:w="1780" w:type="dxa"/>
            <w:tcBorders>
              <w:top w:val="nil"/>
              <w:left w:val="nil"/>
              <w:bottom w:val="nil"/>
              <w:right w:val="nil"/>
            </w:tcBorders>
            <w:shd w:val="clear" w:color="000000" w:fill="FFFFFF"/>
            <w:vAlign w:val="bottom"/>
            <w:hideMark/>
          </w:tcPr>
          <w:p w14:paraId="29FDB7B6"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4.245</w:t>
            </w:r>
          </w:p>
        </w:tc>
        <w:tc>
          <w:tcPr>
            <w:tcW w:w="1687" w:type="dxa"/>
            <w:tcBorders>
              <w:top w:val="nil"/>
              <w:left w:val="nil"/>
              <w:bottom w:val="nil"/>
              <w:right w:val="nil"/>
            </w:tcBorders>
            <w:shd w:val="clear" w:color="000000" w:fill="FFFFFF"/>
            <w:vAlign w:val="bottom"/>
            <w:hideMark/>
          </w:tcPr>
          <w:p w14:paraId="057D7B6A"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$ 45.373.770.991.077</w:t>
            </w:r>
          </w:p>
        </w:tc>
      </w:tr>
      <w:tr w:rsidR="003B41C3" w:rsidRPr="002B53FD" w14:paraId="056DA30A" w14:textId="77777777" w:rsidTr="003B41C3">
        <w:trPr>
          <w:trHeight w:val="238"/>
        </w:trPr>
        <w:tc>
          <w:tcPr>
            <w:tcW w:w="562" w:type="dxa"/>
            <w:tcBorders>
              <w:top w:val="nil"/>
              <w:left w:val="nil"/>
              <w:bottom w:val="nil"/>
              <w:right w:val="nil"/>
            </w:tcBorders>
            <w:shd w:val="clear" w:color="000000" w:fill="FFFFFF"/>
            <w:vAlign w:val="bottom"/>
            <w:hideMark/>
          </w:tcPr>
          <w:p w14:paraId="6CD8F444"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3</w:t>
            </w:r>
          </w:p>
        </w:tc>
        <w:tc>
          <w:tcPr>
            <w:tcW w:w="5108" w:type="dxa"/>
            <w:tcBorders>
              <w:top w:val="nil"/>
              <w:left w:val="nil"/>
              <w:bottom w:val="nil"/>
              <w:right w:val="nil"/>
            </w:tcBorders>
            <w:shd w:val="clear" w:color="auto" w:fill="548DD4" w:themeFill="text2" w:themeFillTint="99"/>
            <w:vAlign w:val="bottom"/>
            <w:hideMark/>
          </w:tcPr>
          <w:p w14:paraId="5A1FC505" w14:textId="77777777" w:rsidR="003B41C3" w:rsidRPr="00496BBC" w:rsidRDefault="003B41C3" w:rsidP="003B41C3">
            <w:pPr>
              <w:spacing w:after="0"/>
              <w:rPr>
                <w:rFonts w:ascii="Cambria" w:eastAsia="Times New Roman" w:hAnsi="Cambria" w:cs="Times New Roman"/>
                <w:color w:val="FFFFFF"/>
                <w:sz w:val="20"/>
                <w:szCs w:val="20"/>
                <w:lang w:val="es-CO" w:eastAsia="es-CO"/>
              </w:rPr>
            </w:pPr>
            <w:r w:rsidRPr="00496BBC">
              <w:rPr>
                <w:rFonts w:ascii="Cambria" w:eastAsia="Times New Roman" w:hAnsi="Cambria" w:cs="Times New Roman"/>
                <w:color w:val="FFFFFF"/>
                <w:sz w:val="20"/>
                <w:szCs w:val="20"/>
                <w:lang w:val="es-CO" w:eastAsia="es-CO"/>
              </w:rPr>
              <w:t>SUPERINTENDENCIA DE SOCIEDADES</w:t>
            </w:r>
          </w:p>
        </w:tc>
        <w:tc>
          <w:tcPr>
            <w:tcW w:w="1780" w:type="dxa"/>
            <w:tcBorders>
              <w:top w:val="nil"/>
              <w:left w:val="nil"/>
              <w:bottom w:val="nil"/>
              <w:right w:val="nil"/>
            </w:tcBorders>
            <w:shd w:val="clear" w:color="000000" w:fill="FFFFFF"/>
            <w:vAlign w:val="bottom"/>
            <w:hideMark/>
          </w:tcPr>
          <w:p w14:paraId="0FD63573"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642</w:t>
            </w:r>
          </w:p>
        </w:tc>
        <w:tc>
          <w:tcPr>
            <w:tcW w:w="1687" w:type="dxa"/>
            <w:tcBorders>
              <w:top w:val="nil"/>
              <w:left w:val="nil"/>
              <w:bottom w:val="nil"/>
              <w:right w:val="nil"/>
            </w:tcBorders>
            <w:shd w:val="clear" w:color="000000" w:fill="FFFFFF"/>
            <w:vAlign w:val="bottom"/>
            <w:hideMark/>
          </w:tcPr>
          <w:p w14:paraId="27CD2E15"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$ 39.099.793.291.189</w:t>
            </w:r>
          </w:p>
        </w:tc>
      </w:tr>
      <w:tr w:rsidR="003B41C3" w:rsidRPr="002B53FD" w14:paraId="327CCA1D" w14:textId="77777777" w:rsidTr="003B41C3">
        <w:trPr>
          <w:trHeight w:val="163"/>
        </w:trPr>
        <w:tc>
          <w:tcPr>
            <w:tcW w:w="562" w:type="dxa"/>
            <w:tcBorders>
              <w:top w:val="nil"/>
              <w:left w:val="nil"/>
              <w:bottom w:val="nil"/>
              <w:right w:val="nil"/>
            </w:tcBorders>
            <w:shd w:val="clear" w:color="000000" w:fill="FFFFFF"/>
            <w:vAlign w:val="bottom"/>
            <w:hideMark/>
          </w:tcPr>
          <w:p w14:paraId="5A146E14"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4</w:t>
            </w:r>
          </w:p>
        </w:tc>
        <w:tc>
          <w:tcPr>
            <w:tcW w:w="5108" w:type="dxa"/>
            <w:tcBorders>
              <w:top w:val="nil"/>
              <w:left w:val="nil"/>
              <w:bottom w:val="nil"/>
              <w:right w:val="nil"/>
            </w:tcBorders>
            <w:shd w:val="clear" w:color="auto" w:fill="548DD4" w:themeFill="text2" w:themeFillTint="99"/>
            <w:vAlign w:val="bottom"/>
            <w:hideMark/>
          </w:tcPr>
          <w:p w14:paraId="5CCFDEFD" w14:textId="77777777" w:rsidR="003B41C3" w:rsidRPr="00496BBC" w:rsidRDefault="003B41C3" w:rsidP="003B41C3">
            <w:pPr>
              <w:spacing w:after="0"/>
              <w:rPr>
                <w:rFonts w:ascii="Cambria" w:eastAsia="Times New Roman" w:hAnsi="Cambria" w:cs="Times New Roman"/>
                <w:color w:val="FFFFFF"/>
                <w:sz w:val="20"/>
                <w:szCs w:val="20"/>
                <w:lang w:val="es-CO" w:eastAsia="es-CO"/>
              </w:rPr>
            </w:pPr>
            <w:r w:rsidRPr="00496BBC">
              <w:rPr>
                <w:rFonts w:ascii="Cambria" w:eastAsia="Times New Roman" w:hAnsi="Cambria" w:cs="Times New Roman"/>
                <w:color w:val="FFFFFF"/>
                <w:sz w:val="20"/>
                <w:szCs w:val="20"/>
                <w:lang w:val="es-CO" w:eastAsia="es-CO"/>
              </w:rPr>
              <w:t>FISCALIA GENERAL DE LA NACION</w:t>
            </w:r>
          </w:p>
        </w:tc>
        <w:tc>
          <w:tcPr>
            <w:tcW w:w="1780" w:type="dxa"/>
            <w:tcBorders>
              <w:top w:val="nil"/>
              <w:left w:val="nil"/>
              <w:bottom w:val="nil"/>
              <w:right w:val="nil"/>
            </w:tcBorders>
            <w:shd w:val="clear" w:color="000000" w:fill="FFFFFF"/>
            <w:vAlign w:val="bottom"/>
            <w:hideMark/>
          </w:tcPr>
          <w:p w14:paraId="2DAA7511"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10.983</w:t>
            </w:r>
          </w:p>
        </w:tc>
        <w:tc>
          <w:tcPr>
            <w:tcW w:w="1687" w:type="dxa"/>
            <w:tcBorders>
              <w:top w:val="nil"/>
              <w:left w:val="nil"/>
              <w:bottom w:val="nil"/>
              <w:right w:val="nil"/>
            </w:tcBorders>
            <w:shd w:val="clear" w:color="000000" w:fill="FFFFFF"/>
            <w:vAlign w:val="bottom"/>
            <w:hideMark/>
          </w:tcPr>
          <w:p w14:paraId="7F59C8E4"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$ 34.307.086.550.564</w:t>
            </w:r>
          </w:p>
        </w:tc>
      </w:tr>
      <w:tr w:rsidR="003B41C3" w:rsidRPr="002B53FD" w14:paraId="725BCD32" w14:textId="77777777" w:rsidTr="003B41C3">
        <w:trPr>
          <w:trHeight w:val="104"/>
        </w:trPr>
        <w:tc>
          <w:tcPr>
            <w:tcW w:w="562" w:type="dxa"/>
            <w:tcBorders>
              <w:top w:val="nil"/>
              <w:left w:val="nil"/>
              <w:bottom w:val="nil"/>
              <w:right w:val="nil"/>
            </w:tcBorders>
            <w:shd w:val="clear" w:color="000000" w:fill="FFFFFF"/>
            <w:vAlign w:val="bottom"/>
            <w:hideMark/>
          </w:tcPr>
          <w:p w14:paraId="78629AF7"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5</w:t>
            </w:r>
          </w:p>
        </w:tc>
        <w:tc>
          <w:tcPr>
            <w:tcW w:w="5108" w:type="dxa"/>
            <w:tcBorders>
              <w:top w:val="nil"/>
              <w:left w:val="nil"/>
              <w:bottom w:val="nil"/>
              <w:right w:val="nil"/>
            </w:tcBorders>
            <w:shd w:val="clear" w:color="auto" w:fill="548DD4" w:themeFill="text2" w:themeFillTint="99"/>
            <w:vAlign w:val="bottom"/>
            <w:hideMark/>
          </w:tcPr>
          <w:p w14:paraId="79DFED2A" w14:textId="77777777" w:rsidR="003B41C3" w:rsidRPr="00496BBC" w:rsidRDefault="003B41C3" w:rsidP="003B41C3">
            <w:pPr>
              <w:spacing w:after="0"/>
              <w:rPr>
                <w:rFonts w:ascii="Cambria" w:eastAsia="Times New Roman" w:hAnsi="Cambria" w:cs="Times New Roman"/>
                <w:color w:val="FFFFFF"/>
                <w:sz w:val="20"/>
                <w:szCs w:val="20"/>
                <w:lang w:val="es-CO" w:eastAsia="es-CO"/>
              </w:rPr>
            </w:pPr>
            <w:r w:rsidRPr="00496BBC">
              <w:rPr>
                <w:rFonts w:ascii="Cambria" w:eastAsia="Times New Roman" w:hAnsi="Cambria" w:cs="Times New Roman"/>
                <w:color w:val="FFFFFF"/>
                <w:sz w:val="20"/>
                <w:szCs w:val="20"/>
                <w:lang w:val="es-CO" w:eastAsia="es-CO"/>
              </w:rPr>
              <w:t>DEPARTAMENTO ADMINISTRATIVO DE LA PRESIDENCIA DE LA REPUBLICA</w:t>
            </w:r>
          </w:p>
        </w:tc>
        <w:tc>
          <w:tcPr>
            <w:tcW w:w="1780" w:type="dxa"/>
            <w:tcBorders>
              <w:top w:val="nil"/>
              <w:left w:val="nil"/>
              <w:bottom w:val="nil"/>
              <w:right w:val="nil"/>
            </w:tcBorders>
            <w:shd w:val="clear" w:color="000000" w:fill="FFFFFF"/>
            <w:vAlign w:val="bottom"/>
            <w:hideMark/>
          </w:tcPr>
          <w:p w14:paraId="1E9A52C8"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1.168</w:t>
            </w:r>
          </w:p>
        </w:tc>
        <w:tc>
          <w:tcPr>
            <w:tcW w:w="1687" w:type="dxa"/>
            <w:tcBorders>
              <w:top w:val="nil"/>
              <w:left w:val="nil"/>
              <w:bottom w:val="nil"/>
              <w:right w:val="nil"/>
            </w:tcBorders>
            <w:shd w:val="clear" w:color="000000" w:fill="FFFFFF"/>
            <w:vAlign w:val="bottom"/>
            <w:hideMark/>
          </w:tcPr>
          <w:p w14:paraId="21667323"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$ 23.527.136.454.717</w:t>
            </w:r>
          </w:p>
        </w:tc>
      </w:tr>
      <w:tr w:rsidR="003B41C3" w:rsidRPr="002B53FD" w14:paraId="6E887B96" w14:textId="77777777" w:rsidTr="003B41C3">
        <w:trPr>
          <w:trHeight w:val="216"/>
        </w:trPr>
        <w:tc>
          <w:tcPr>
            <w:tcW w:w="562" w:type="dxa"/>
            <w:tcBorders>
              <w:top w:val="nil"/>
              <w:left w:val="nil"/>
              <w:bottom w:val="nil"/>
              <w:right w:val="nil"/>
            </w:tcBorders>
            <w:shd w:val="clear" w:color="000000" w:fill="FFFFFF"/>
            <w:vAlign w:val="bottom"/>
            <w:hideMark/>
          </w:tcPr>
          <w:p w14:paraId="46DBDBF1"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6</w:t>
            </w:r>
          </w:p>
        </w:tc>
        <w:tc>
          <w:tcPr>
            <w:tcW w:w="5108" w:type="dxa"/>
            <w:tcBorders>
              <w:top w:val="nil"/>
              <w:left w:val="nil"/>
              <w:bottom w:val="nil"/>
              <w:right w:val="nil"/>
            </w:tcBorders>
            <w:shd w:val="clear" w:color="auto" w:fill="548DD4" w:themeFill="text2" w:themeFillTint="99"/>
            <w:vAlign w:val="bottom"/>
            <w:hideMark/>
          </w:tcPr>
          <w:p w14:paraId="7B91923A" w14:textId="77777777" w:rsidR="003B41C3" w:rsidRPr="00496BBC" w:rsidRDefault="003B41C3" w:rsidP="003B41C3">
            <w:pPr>
              <w:spacing w:after="0"/>
              <w:rPr>
                <w:rFonts w:ascii="Cambria" w:eastAsia="Times New Roman" w:hAnsi="Cambria" w:cs="Times New Roman"/>
                <w:color w:val="FFFFFF"/>
                <w:sz w:val="20"/>
                <w:szCs w:val="20"/>
                <w:lang w:val="es-CO" w:eastAsia="es-CO"/>
              </w:rPr>
            </w:pPr>
            <w:r w:rsidRPr="00496BBC">
              <w:rPr>
                <w:rFonts w:ascii="Cambria" w:eastAsia="Times New Roman" w:hAnsi="Cambria" w:cs="Times New Roman"/>
                <w:color w:val="FFFFFF"/>
                <w:sz w:val="20"/>
                <w:szCs w:val="20"/>
                <w:lang w:val="es-CO" w:eastAsia="es-CO"/>
              </w:rPr>
              <w:t>POLICIA NACIONAL</w:t>
            </w:r>
          </w:p>
        </w:tc>
        <w:tc>
          <w:tcPr>
            <w:tcW w:w="1780" w:type="dxa"/>
            <w:tcBorders>
              <w:top w:val="nil"/>
              <w:left w:val="nil"/>
              <w:bottom w:val="nil"/>
              <w:right w:val="nil"/>
            </w:tcBorders>
            <w:shd w:val="clear" w:color="000000" w:fill="FFFFFF"/>
            <w:vAlign w:val="bottom"/>
            <w:hideMark/>
          </w:tcPr>
          <w:p w14:paraId="1AA3A792"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14.127</w:t>
            </w:r>
          </w:p>
        </w:tc>
        <w:tc>
          <w:tcPr>
            <w:tcW w:w="1687" w:type="dxa"/>
            <w:tcBorders>
              <w:top w:val="nil"/>
              <w:left w:val="nil"/>
              <w:bottom w:val="nil"/>
              <w:right w:val="nil"/>
            </w:tcBorders>
            <w:shd w:val="clear" w:color="000000" w:fill="FFFFFF"/>
            <w:vAlign w:val="bottom"/>
            <w:hideMark/>
          </w:tcPr>
          <w:p w14:paraId="1360401E"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$ 19.161.655.124.166</w:t>
            </w:r>
          </w:p>
        </w:tc>
      </w:tr>
      <w:tr w:rsidR="003B41C3" w:rsidRPr="002B53FD" w14:paraId="4F5ACDA6" w14:textId="77777777" w:rsidTr="003B41C3">
        <w:trPr>
          <w:trHeight w:val="141"/>
        </w:trPr>
        <w:tc>
          <w:tcPr>
            <w:tcW w:w="562" w:type="dxa"/>
            <w:tcBorders>
              <w:top w:val="nil"/>
              <w:left w:val="nil"/>
              <w:bottom w:val="nil"/>
              <w:right w:val="nil"/>
            </w:tcBorders>
            <w:shd w:val="clear" w:color="000000" w:fill="FFFFFF"/>
            <w:vAlign w:val="bottom"/>
            <w:hideMark/>
          </w:tcPr>
          <w:p w14:paraId="04FA2EA5"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7</w:t>
            </w:r>
          </w:p>
        </w:tc>
        <w:tc>
          <w:tcPr>
            <w:tcW w:w="5108" w:type="dxa"/>
            <w:tcBorders>
              <w:top w:val="nil"/>
              <w:left w:val="nil"/>
              <w:bottom w:val="nil"/>
              <w:right w:val="nil"/>
            </w:tcBorders>
            <w:shd w:val="clear" w:color="auto" w:fill="548DD4" w:themeFill="text2" w:themeFillTint="99"/>
            <w:vAlign w:val="bottom"/>
            <w:hideMark/>
          </w:tcPr>
          <w:p w14:paraId="0CDC1AE1" w14:textId="77777777" w:rsidR="003B41C3" w:rsidRPr="00496BBC" w:rsidRDefault="003B41C3" w:rsidP="003B41C3">
            <w:pPr>
              <w:spacing w:after="0"/>
              <w:rPr>
                <w:rFonts w:ascii="Cambria" w:eastAsia="Times New Roman" w:hAnsi="Cambria" w:cs="Times New Roman"/>
                <w:color w:val="FFFFFF"/>
                <w:sz w:val="20"/>
                <w:szCs w:val="20"/>
                <w:lang w:val="es-CO" w:eastAsia="es-CO"/>
              </w:rPr>
            </w:pPr>
            <w:r w:rsidRPr="00496BBC">
              <w:rPr>
                <w:rFonts w:ascii="Cambria" w:eastAsia="Times New Roman" w:hAnsi="Cambria" w:cs="Times New Roman"/>
                <w:color w:val="FFFFFF"/>
                <w:sz w:val="20"/>
                <w:szCs w:val="20"/>
                <w:lang w:val="es-CO" w:eastAsia="es-CO"/>
              </w:rPr>
              <w:t>MINISTERIO DE DEFENSA NACIONAL</w:t>
            </w:r>
          </w:p>
        </w:tc>
        <w:tc>
          <w:tcPr>
            <w:tcW w:w="1780" w:type="dxa"/>
            <w:tcBorders>
              <w:top w:val="nil"/>
              <w:left w:val="nil"/>
              <w:bottom w:val="nil"/>
              <w:right w:val="nil"/>
            </w:tcBorders>
            <w:shd w:val="clear" w:color="000000" w:fill="FFFFFF"/>
            <w:vAlign w:val="bottom"/>
            <w:hideMark/>
          </w:tcPr>
          <w:p w14:paraId="72FFE049"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16.658</w:t>
            </w:r>
          </w:p>
        </w:tc>
        <w:tc>
          <w:tcPr>
            <w:tcW w:w="1687" w:type="dxa"/>
            <w:tcBorders>
              <w:top w:val="nil"/>
              <w:left w:val="nil"/>
              <w:bottom w:val="nil"/>
              <w:right w:val="nil"/>
            </w:tcBorders>
            <w:shd w:val="clear" w:color="000000" w:fill="FFFFFF"/>
            <w:vAlign w:val="bottom"/>
            <w:hideMark/>
          </w:tcPr>
          <w:p w14:paraId="5D4C3359"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$ 14.875.416.053.975</w:t>
            </w:r>
          </w:p>
        </w:tc>
      </w:tr>
      <w:tr w:rsidR="003B41C3" w:rsidRPr="002B53FD" w14:paraId="769A40AB" w14:textId="77777777" w:rsidTr="003B41C3">
        <w:trPr>
          <w:trHeight w:val="254"/>
        </w:trPr>
        <w:tc>
          <w:tcPr>
            <w:tcW w:w="562" w:type="dxa"/>
            <w:tcBorders>
              <w:top w:val="nil"/>
              <w:left w:val="nil"/>
              <w:bottom w:val="nil"/>
              <w:right w:val="nil"/>
            </w:tcBorders>
            <w:shd w:val="clear" w:color="000000" w:fill="FFFFFF"/>
            <w:vAlign w:val="bottom"/>
            <w:hideMark/>
          </w:tcPr>
          <w:p w14:paraId="69903DDB"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8</w:t>
            </w:r>
          </w:p>
        </w:tc>
        <w:tc>
          <w:tcPr>
            <w:tcW w:w="5108" w:type="dxa"/>
            <w:tcBorders>
              <w:top w:val="nil"/>
              <w:left w:val="nil"/>
              <w:bottom w:val="nil"/>
              <w:right w:val="nil"/>
            </w:tcBorders>
            <w:shd w:val="clear" w:color="auto" w:fill="548DD4" w:themeFill="text2" w:themeFillTint="99"/>
            <w:vAlign w:val="bottom"/>
            <w:hideMark/>
          </w:tcPr>
          <w:p w14:paraId="5DA1F19E" w14:textId="77777777" w:rsidR="003B41C3" w:rsidRPr="00496BBC" w:rsidRDefault="003B41C3" w:rsidP="003B41C3">
            <w:pPr>
              <w:spacing w:after="0"/>
              <w:rPr>
                <w:rFonts w:ascii="Cambria" w:eastAsia="Times New Roman" w:hAnsi="Cambria" w:cs="Times New Roman"/>
                <w:color w:val="FFFFFF"/>
                <w:sz w:val="20"/>
                <w:szCs w:val="20"/>
                <w:lang w:val="es-CO" w:eastAsia="es-CO"/>
              </w:rPr>
            </w:pPr>
            <w:r w:rsidRPr="00496BBC">
              <w:rPr>
                <w:rFonts w:ascii="Cambria" w:eastAsia="Times New Roman" w:hAnsi="Cambria" w:cs="Times New Roman"/>
                <w:color w:val="FFFFFF"/>
                <w:sz w:val="20"/>
                <w:szCs w:val="20"/>
                <w:lang w:val="es-CO" w:eastAsia="es-CO"/>
              </w:rPr>
              <w:t>MINISTERIO DE MINAS Y ENERGIA</w:t>
            </w:r>
          </w:p>
        </w:tc>
        <w:tc>
          <w:tcPr>
            <w:tcW w:w="1780" w:type="dxa"/>
            <w:tcBorders>
              <w:top w:val="nil"/>
              <w:left w:val="nil"/>
              <w:bottom w:val="nil"/>
              <w:right w:val="nil"/>
            </w:tcBorders>
            <w:shd w:val="clear" w:color="000000" w:fill="FFFFFF"/>
            <w:vAlign w:val="bottom"/>
            <w:hideMark/>
          </w:tcPr>
          <w:p w14:paraId="28BF2C4B"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647</w:t>
            </w:r>
          </w:p>
        </w:tc>
        <w:tc>
          <w:tcPr>
            <w:tcW w:w="1687" w:type="dxa"/>
            <w:tcBorders>
              <w:top w:val="nil"/>
              <w:left w:val="nil"/>
              <w:bottom w:val="nil"/>
              <w:right w:val="nil"/>
            </w:tcBorders>
            <w:shd w:val="clear" w:color="000000" w:fill="FFFFFF"/>
            <w:vAlign w:val="bottom"/>
            <w:hideMark/>
          </w:tcPr>
          <w:p w14:paraId="4912F051"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$ 11.769.898.972.807</w:t>
            </w:r>
          </w:p>
        </w:tc>
      </w:tr>
      <w:tr w:rsidR="003B41C3" w:rsidRPr="002B53FD" w14:paraId="2E4FCE01" w14:textId="77777777" w:rsidTr="003B41C3">
        <w:trPr>
          <w:trHeight w:val="80"/>
        </w:trPr>
        <w:tc>
          <w:tcPr>
            <w:tcW w:w="562" w:type="dxa"/>
            <w:tcBorders>
              <w:top w:val="nil"/>
              <w:left w:val="nil"/>
              <w:bottom w:val="nil"/>
              <w:right w:val="nil"/>
            </w:tcBorders>
            <w:shd w:val="clear" w:color="000000" w:fill="FFFFFF"/>
            <w:vAlign w:val="bottom"/>
            <w:hideMark/>
          </w:tcPr>
          <w:p w14:paraId="16AFD9E2"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9</w:t>
            </w:r>
          </w:p>
        </w:tc>
        <w:tc>
          <w:tcPr>
            <w:tcW w:w="5108" w:type="dxa"/>
            <w:tcBorders>
              <w:top w:val="nil"/>
              <w:left w:val="nil"/>
              <w:bottom w:val="nil"/>
              <w:right w:val="nil"/>
            </w:tcBorders>
            <w:shd w:val="clear" w:color="auto" w:fill="548DD4" w:themeFill="text2" w:themeFillTint="99"/>
            <w:vAlign w:val="bottom"/>
            <w:hideMark/>
          </w:tcPr>
          <w:p w14:paraId="73466D05" w14:textId="77777777" w:rsidR="003B41C3" w:rsidRPr="00496BBC" w:rsidRDefault="003B41C3" w:rsidP="003B41C3">
            <w:pPr>
              <w:spacing w:after="0"/>
              <w:rPr>
                <w:rFonts w:ascii="Cambria" w:eastAsia="Times New Roman" w:hAnsi="Cambria" w:cs="Times New Roman"/>
                <w:color w:val="FFFFFF"/>
                <w:sz w:val="20"/>
                <w:szCs w:val="20"/>
                <w:lang w:val="es-CO" w:eastAsia="es-CO"/>
              </w:rPr>
            </w:pPr>
            <w:r w:rsidRPr="00496BBC">
              <w:rPr>
                <w:rFonts w:ascii="Cambria" w:eastAsia="Times New Roman" w:hAnsi="Cambria" w:cs="Times New Roman"/>
                <w:color w:val="FFFFFF"/>
                <w:sz w:val="20"/>
                <w:szCs w:val="20"/>
                <w:lang w:val="es-CO" w:eastAsia="es-CO"/>
              </w:rPr>
              <w:t>DIRECCION EJECUTIVA DE ADMINISTRACION JUDICIAL</w:t>
            </w:r>
          </w:p>
        </w:tc>
        <w:tc>
          <w:tcPr>
            <w:tcW w:w="1780" w:type="dxa"/>
            <w:tcBorders>
              <w:top w:val="nil"/>
              <w:left w:val="nil"/>
              <w:bottom w:val="nil"/>
              <w:right w:val="nil"/>
            </w:tcBorders>
            <w:shd w:val="clear" w:color="000000" w:fill="FFFFFF"/>
            <w:vAlign w:val="bottom"/>
            <w:hideMark/>
          </w:tcPr>
          <w:p w14:paraId="6FD14250"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6.935</w:t>
            </w:r>
          </w:p>
        </w:tc>
        <w:tc>
          <w:tcPr>
            <w:tcW w:w="1687" w:type="dxa"/>
            <w:tcBorders>
              <w:top w:val="nil"/>
              <w:left w:val="nil"/>
              <w:bottom w:val="nil"/>
              <w:right w:val="nil"/>
            </w:tcBorders>
            <w:shd w:val="clear" w:color="000000" w:fill="FFFFFF"/>
            <w:vAlign w:val="bottom"/>
            <w:hideMark/>
          </w:tcPr>
          <w:p w14:paraId="49E9EDAC"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$ 11.410.159.066.427</w:t>
            </w:r>
          </w:p>
        </w:tc>
      </w:tr>
      <w:tr w:rsidR="003B41C3" w:rsidRPr="002B53FD" w14:paraId="60ED9D05" w14:textId="77777777" w:rsidTr="003B41C3">
        <w:trPr>
          <w:trHeight w:val="104"/>
        </w:trPr>
        <w:tc>
          <w:tcPr>
            <w:tcW w:w="562" w:type="dxa"/>
            <w:tcBorders>
              <w:top w:val="nil"/>
              <w:left w:val="nil"/>
              <w:bottom w:val="nil"/>
              <w:right w:val="nil"/>
            </w:tcBorders>
            <w:shd w:val="clear" w:color="000000" w:fill="FFFFFF"/>
            <w:vAlign w:val="bottom"/>
            <w:hideMark/>
          </w:tcPr>
          <w:p w14:paraId="469ED321"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10</w:t>
            </w:r>
          </w:p>
        </w:tc>
        <w:tc>
          <w:tcPr>
            <w:tcW w:w="5108" w:type="dxa"/>
            <w:tcBorders>
              <w:top w:val="nil"/>
              <w:left w:val="nil"/>
              <w:bottom w:val="nil"/>
              <w:right w:val="nil"/>
            </w:tcBorders>
            <w:shd w:val="clear" w:color="auto" w:fill="548DD4" w:themeFill="text2" w:themeFillTint="99"/>
            <w:vAlign w:val="bottom"/>
            <w:hideMark/>
          </w:tcPr>
          <w:p w14:paraId="56167FDD" w14:textId="77777777" w:rsidR="003B41C3" w:rsidRPr="00496BBC" w:rsidRDefault="003B41C3" w:rsidP="003B41C3">
            <w:pPr>
              <w:spacing w:after="0"/>
              <w:rPr>
                <w:rFonts w:ascii="Cambria" w:eastAsia="Times New Roman" w:hAnsi="Cambria" w:cs="Times New Roman"/>
                <w:color w:val="FFFFFF"/>
                <w:sz w:val="20"/>
                <w:szCs w:val="20"/>
                <w:lang w:val="es-CO" w:eastAsia="es-CO"/>
              </w:rPr>
            </w:pPr>
            <w:r w:rsidRPr="00496BBC">
              <w:rPr>
                <w:rFonts w:ascii="Cambria" w:eastAsia="Times New Roman" w:hAnsi="Cambria" w:cs="Times New Roman"/>
                <w:color w:val="FFFFFF"/>
                <w:sz w:val="20"/>
                <w:szCs w:val="20"/>
                <w:lang w:val="es-CO" w:eastAsia="es-CO"/>
              </w:rPr>
              <w:t>MINISTERIO DE TRANSPORTE</w:t>
            </w:r>
          </w:p>
        </w:tc>
        <w:tc>
          <w:tcPr>
            <w:tcW w:w="1780" w:type="dxa"/>
            <w:tcBorders>
              <w:top w:val="nil"/>
              <w:left w:val="nil"/>
              <w:bottom w:val="nil"/>
              <w:right w:val="nil"/>
            </w:tcBorders>
            <w:shd w:val="clear" w:color="000000" w:fill="FFFFFF"/>
            <w:vAlign w:val="bottom"/>
            <w:hideMark/>
          </w:tcPr>
          <w:p w14:paraId="38342A30"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2.396</w:t>
            </w:r>
          </w:p>
        </w:tc>
        <w:tc>
          <w:tcPr>
            <w:tcW w:w="1687" w:type="dxa"/>
            <w:tcBorders>
              <w:top w:val="nil"/>
              <w:left w:val="nil"/>
              <w:bottom w:val="nil"/>
              <w:right w:val="nil"/>
            </w:tcBorders>
            <w:shd w:val="clear" w:color="000000" w:fill="FFFFFF"/>
            <w:vAlign w:val="bottom"/>
            <w:hideMark/>
          </w:tcPr>
          <w:p w14:paraId="4443324D" w14:textId="77777777" w:rsidR="003B41C3" w:rsidRPr="002B53FD" w:rsidRDefault="003B41C3" w:rsidP="003B41C3">
            <w:pPr>
              <w:spacing w:after="0"/>
              <w:jc w:val="center"/>
              <w:rPr>
                <w:rFonts w:ascii="Cambria" w:eastAsia="Times New Roman" w:hAnsi="Cambria" w:cs="Times New Roman"/>
                <w:color w:val="000000"/>
                <w:sz w:val="16"/>
                <w:szCs w:val="16"/>
                <w:lang w:val="es-CO" w:eastAsia="es-CO"/>
              </w:rPr>
            </w:pPr>
            <w:r w:rsidRPr="002B53FD">
              <w:rPr>
                <w:rFonts w:ascii="Cambria" w:eastAsia="Times New Roman" w:hAnsi="Cambria" w:cs="Times New Roman"/>
                <w:color w:val="000000"/>
                <w:sz w:val="16"/>
                <w:szCs w:val="16"/>
                <w:lang w:val="es-CO" w:eastAsia="es-CO"/>
              </w:rPr>
              <w:t>$ 9.330.526.423.081</w:t>
            </w:r>
          </w:p>
        </w:tc>
      </w:tr>
    </w:tbl>
    <w:p w14:paraId="78595C8F" w14:textId="77777777" w:rsidR="00BF1F8F" w:rsidRDefault="00BF1F8F" w:rsidP="003B41C3">
      <w:pPr>
        <w:ind w:right="-227"/>
        <w:jc w:val="center"/>
        <w:rPr>
          <w:rFonts w:cs="Arial"/>
          <w:b/>
          <w:sz w:val="18"/>
          <w:szCs w:val="18"/>
        </w:rPr>
      </w:pPr>
    </w:p>
    <w:p w14:paraId="16ADBBFC" w14:textId="77777777" w:rsidR="003B41C3" w:rsidRPr="009915EB" w:rsidRDefault="003B41C3" w:rsidP="003B41C3">
      <w:pPr>
        <w:ind w:right="-227"/>
        <w:jc w:val="center"/>
        <w:rPr>
          <w:rFonts w:cs="Arial"/>
          <w:b/>
          <w:sz w:val="18"/>
          <w:szCs w:val="18"/>
        </w:rPr>
      </w:pPr>
      <w:r w:rsidRPr="009915EB">
        <w:rPr>
          <w:rFonts w:cs="Arial"/>
          <w:b/>
          <w:sz w:val="18"/>
          <w:szCs w:val="18"/>
        </w:rPr>
        <w:t>Fuente: Sistema Único de Gestión e Información de la Actividad Litigiosa del Estado (</w:t>
      </w:r>
      <w:proofErr w:type="spellStart"/>
      <w:r w:rsidRPr="009915EB">
        <w:rPr>
          <w:rFonts w:cs="Arial"/>
          <w:b/>
          <w:sz w:val="18"/>
          <w:szCs w:val="18"/>
        </w:rPr>
        <w:t>Sep</w:t>
      </w:r>
      <w:proofErr w:type="spellEnd"/>
      <w:r w:rsidRPr="009915EB">
        <w:rPr>
          <w:rFonts w:cs="Arial"/>
          <w:b/>
          <w:sz w:val="18"/>
          <w:szCs w:val="18"/>
        </w:rPr>
        <w:t xml:space="preserve"> 30 de 2013). Cálculos: DGI-ANDJE</w:t>
      </w:r>
    </w:p>
    <w:p w14:paraId="22116CFE" w14:textId="77777777" w:rsidR="003B41C3" w:rsidRPr="00277DE0" w:rsidRDefault="003B41C3" w:rsidP="003B41C3">
      <w:pPr>
        <w:ind w:right="-227"/>
        <w:jc w:val="both"/>
        <w:rPr>
          <w:lang w:val="es-CO"/>
        </w:rPr>
      </w:pPr>
      <w:r w:rsidRPr="00277DE0">
        <w:t xml:space="preserve">Para realizar una adecuada gestión de riesgo, </w:t>
      </w:r>
      <w:r w:rsidRPr="00277DE0">
        <w:rPr>
          <w:lang w:val="es-CO"/>
        </w:rPr>
        <w:t>la</w:t>
      </w:r>
      <w:r>
        <w:rPr>
          <w:lang w:val="es-CO"/>
        </w:rPr>
        <w:t xml:space="preserve"> Agencia a través de la</w:t>
      </w:r>
      <w:r w:rsidRPr="00277DE0">
        <w:rPr>
          <w:lang w:val="es-CO"/>
        </w:rPr>
        <w:t xml:space="preserve"> Dirección de Gestión de Información calculó la tasa de éxito procesal</w:t>
      </w:r>
      <w:r w:rsidRPr="00277DE0">
        <w:rPr>
          <w:vertAlign w:val="superscript"/>
          <w:lang w:val="es-CO"/>
        </w:rPr>
        <w:footnoteReference w:id="8"/>
      </w:r>
      <w:r w:rsidRPr="00277DE0">
        <w:rPr>
          <w:lang w:val="es-CO"/>
        </w:rPr>
        <w:t>, que en promedio asciende a 51.8% a nivel nacional, para el periodo comprendido entre enero y septiembre de 2013. A</w:t>
      </w:r>
      <w:r>
        <w:rPr>
          <w:lang w:val="es-CO"/>
        </w:rPr>
        <w:t>l a</w:t>
      </w:r>
      <w:r w:rsidRPr="00277DE0">
        <w:rPr>
          <w:lang w:val="es-CO"/>
        </w:rPr>
        <w:t>naliza</w:t>
      </w:r>
      <w:r>
        <w:rPr>
          <w:lang w:val="es-CO"/>
        </w:rPr>
        <w:t xml:space="preserve">r </w:t>
      </w:r>
      <w:r w:rsidRPr="00277DE0">
        <w:rPr>
          <w:lang w:val="es-CO"/>
        </w:rPr>
        <w:t>esta tasa, el mejor desempeño lo tiene el sector Interior con el 85.7%. En el otro extremo está el sector Cultura con una tasa de éxito procesal de 11.1%. El sector Deporte y Recreación y el sector Organismos Autónomos no reportan aún procesos terminados, razón por la cual no son incluidos en la siguiente gráfica en la que se muestra la relación de este indicador para cada sector entre enero y septiembre del año en curso.</w:t>
      </w:r>
    </w:p>
    <w:p w14:paraId="118F19D4" w14:textId="77777777" w:rsidR="003B41C3" w:rsidRDefault="003B41C3" w:rsidP="003B41C3">
      <w:pPr>
        <w:jc w:val="both"/>
        <w:rPr>
          <w:lang w:val="es-CO"/>
        </w:rPr>
      </w:pPr>
    </w:p>
    <w:p w14:paraId="39DE8D6B" w14:textId="77777777" w:rsidR="003B41C3" w:rsidRDefault="003B41C3" w:rsidP="003B41C3">
      <w:pPr>
        <w:jc w:val="both"/>
        <w:rPr>
          <w:lang w:val="es-CO"/>
        </w:rPr>
      </w:pPr>
    </w:p>
    <w:p w14:paraId="1740D0F0" w14:textId="77777777" w:rsidR="00BF1F8F" w:rsidRDefault="00BF1F8F" w:rsidP="003B41C3">
      <w:pPr>
        <w:jc w:val="both"/>
        <w:rPr>
          <w:lang w:val="es-CO"/>
        </w:rPr>
      </w:pPr>
    </w:p>
    <w:p w14:paraId="29E40C94" w14:textId="77777777" w:rsidR="003B41C3" w:rsidRDefault="003B41C3" w:rsidP="003B41C3">
      <w:pPr>
        <w:jc w:val="both"/>
        <w:rPr>
          <w:lang w:val="es-CO"/>
        </w:rPr>
      </w:pPr>
    </w:p>
    <w:p w14:paraId="2CC340EA" w14:textId="77777777" w:rsidR="003B41C3" w:rsidRDefault="003B41C3" w:rsidP="003B41C3">
      <w:pPr>
        <w:jc w:val="both"/>
        <w:rPr>
          <w:lang w:val="es-CO"/>
        </w:rPr>
      </w:pPr>
    </w:p>
    <w:p w14:paraId="599E1EDB" w14:textId="77777777" w:rsidR="003B41C3" w:rsidRDefault="003B41C3" w:rsidP="003B41C3">
      <w:pPr>
        <w:jc w:val="both"/>
        <w:rPr>
          <w:lang w:val="es-CO"/>
        </w:rPr>
      </w:pPr>
    </w:p>
    <w:p w14:paraId="2212AD33" w14:textId="77777777" w:rsidR="003B41C3" w:rsidRDefault="003B41C3" w:rsidP="003B41C3">
      <w:pPr>
        <w:jc w:val="both"/>
        <w:rPr>
          <w:lang w:val="es-CO"/>
        </w:rPr>
      </w:pPr>
    </w:p>
    <w:p w14:paraId="418B37BF" w14:textId="77777777" w:rsidR="003B41C3" w:rsidRDefault="003B41C3" w:rsidP="003B41C3">
      <w:pPr>
        <w:jc w:val="both"/>
        <w:rPr>
          <w:lang w:val="es-CO"/>
        </w:rPr>
      </w:pPr>
    </w:p>
    <w:p w14:paraId="14E67966" w14:textId="77777777" w:rsidR="003B41C3" w:rsidRDefault="003B41C3" w:rsidP="003B41C3">
      <w:pPr>
        <w:jc w:val="both"/>
        <w:rPr>
          <w:lang w:val="es-CO"/>
        </w:rPr>
      </w:pPr>
    </w:p>
    <w:p w14:paraId="30DA6EBA" w14:textId="77777777" w:rsidR="003B41C3" w:rsidRPr="00EE7842" w:rsidRDefault="003B41C3" w:rsidP="003B41C3">
      <w:pPr>
        <w:spacing w:after="0"/>
        <w:ind w:right="-283"/>
        <w:jc w:val="center"/>
        <w:rPr>
          <w:b/>
          <w:sz w:val="20"/>
          <w:szCs w:val="20"/>
          <w:lang w:val="es-CO"/>
        </w:rPr>
      </w:pPr>
      <w:r w:rsidRPr="00EE7842">
        <w:rPr>
          <w:b/>
          <w:sz w:val="20"/>
          <w:szCs w:val="20"/>
          <w:lang w:val="es-CO"/>
        </w:rPr>
        <w:t xml:space="preserve">Gráfico 6. Tasa de éxito procesal por sector </w:t>
      </w:r>
    </w:p>
    <w:p w14:paraId="46D69496" w14:textId="77777777" w:rsidR="003B41C3" w:rsidRDefault="003B41C3" w:rsidP="003B41C3">
      <w:pPr>
        <w:spacing w:after="0"/>
        <w:jc w:val="center"/>
        <w:rPr>
          <w:b/>
          <w:sz w:val="22"/>
          <w:lang w:val="es-CO"/>
        </w:rPr>
      </w:pPr>
      <w:r w:rsidRPr="00EE7842">
        <w:rPr>
          <w:b/>
          <w:sz w:val="20"/>
          <w:szCs w:val="20"/>
          <w:lang w:val="es-CO"/>
        </w:rPr>
        <w:t>(Enero-Septiembre 2013</w:t>
      </w:r>
      <w:r>
        <w:rPr>
          <w:b/>
          <w:sz w:val="22"/>
          <w:lang w:val="es-CO"/>
        </w:rPr>
        <w:t>)</w:t>
      </w:r>
    </w:p>
    <w:p w14:paraId="310F0F1E" w14:textId="41510DD7" w:rsidR="003B41C3" w:rsidRPr="004E5F7F" w:rsidRDefault="0022534D" w:rsidP="003B41C3">
      <w:pPr>
        <w:autoSpaceDE w:val="0"/>
        <w:autoSpaceDN w:val="0"/>
        <w:adjustRightInd w:val="0"/>
        <w:spacing w:after="0"/>
        <w:rPr>
          <w:rFonts w:cs="Arial"/>
          <w:lang w:val="es-CO"/>
        </w:rPr>
      </w:pPr>
      <w:r>
        <w:rPr>
          <w:rFonts w:cs="Arial"/>
          <w:noProof/>
          <w:lang w:val="es-CO" w:eastAsia="es-CO"/>
        </w:rPr>
        <w:t xml:space="preserve"> </w:t>
      </w:r>
      <w:r w:rsidR="003B41C3">
        <w:rPr>
          <w:rFonts w:cs="Arial"/>
          <w:noProof/>
          <w:lang w:val="es-CO" w:eastAsia="es-CO"/>
        </w:rPr>
        <w:drawing>
          <wp:inline distT="0" distB="0" distL="0" distR="0" wp14:anchorId="61E90C7E" wp14:editId="44911AE9">
            <wp:extent cx="5669915" cy="5627370"/>
            <wp:effectExtent l="0" t="0" r="698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915" cy="5627370"/>
                    </a:xfrm>
                    <a:prstGeom prst="rect">
                      <a:avLst/>
                    </a:prstGeom>
                    <a:noFill/>
                  </pic:spPr>
                </pic:pic>
              </a:graphicData>
            </a:graphic>
          </wp:inline>
        </w:drawing>
      </w:r>
    </w:p>
    <w:p w14:paraId="29C3B676" w14:textId="77777777" w:rsidR="003B41C3" w:rsidRPr="004E5F7F" w:rsidRDefault="003B41C3" w:rsidP="003B41C3">
      <w:pPr>
        <w:autoSpaceDE w:val="0"/>
        <w:autoSpaceDN w:val="0"/>
        <w:adjustRightInd w:val="0"/>
        <w:spacing w:after="0"/>
        <w:rPr>
          <w:rFonts w:cs="Arial"/>
          <w:lang w:val="es-CO"/>
        </w:rPr>
        <w:sectPr w:rsidR="003B41C3" w:rsidRPr="004E5F7F" w:rsidSect="00353FD9">
          <w:headerReference w:type="default" r:id="rId17"/>
          <w:footerReference w:type="default" r:id="rId18"/>
          <w:pgSz w:w="12240" w:h="15840" w:code="1"/>
          <w:pgMar w:top="1417" w:right="1701" w:bottom="1417" w:left="1701" w:header="708" w:footer="708" w:gutter="0"/>
          <w:pgNumType w:start="1"/>
          <w:cols w:space="708"/>
          <w:docGrid w:linePitch="326"/>
        </w:sectPr>
      </w:pPr>
    </w:p>
    <w:p w14:paraId="543B880F" w14:textId="77777777" w:rsidR="003B41C3" w:rsidRDefault="003B41C3" w:rsidP="003B41C3">
      <w:pPr>
        <w:pStyle w:val="Prrafodelista"/>
        <w:numPr>
          <w:ilvl w:val="0"/>
          <w:numId w:val="7"/>
        </w:numPr>
        <w:ind w:left="567" w:right="-283" w:hanging="567"/>
        <w:jc w:val="both"/>
        <w:rPr>
          <w:b/>
          <w:lang w:val="es-CO"/>
        </w:rPr>
      </w:pPr>
      <w:r w:rsidRPr="00C65C55">
        <w:rPr>
          <w:b/>
          <w:lang w:val="es-CO"/>
        </w:rPr>
        <w:lastRenderedPageBreak/>
        <w:t>INFORME DE ACTIVIDAD LITIGIOSA SEGÚN CRITERIOS</w:t>
      </w:r>
      <w:r>
        <w:rPr>
          <w:b/>
          <w:lang w:val="es-CO"/>
        </w:rPr>
        <w:t xml:space="preserve"> FIJADOS POR </w:t>
      </w:r>
      <w:r w:rsidRPr="00C65C55">
        <w:rPr>
          <w:b/>
          <w:lang w:val="es-CO"/>
        </w:rPr>
        <w:t>EL ACUERDO 6 DEL CONSEJO DIRECTIVO</w:t>
      </w:r>
      <w:r>
        <w:rPr>
          <w:b/>
          <w:lang w:val="es-CO"/>
        </w:rPr>
        <w:t xml:space="preserve"> DE LA AGENCIA.</w:t>
      </w:r>
      <w:r w:rsidRPr="00C65C55">
        <w:rPr>
          <w:b/>
          <w:lang w:val="es-CO"/>
        </w:rPr>
        <w:t xml:space="preserve"> </w:t>
      </w:r>
    </w:p>
    <w:p w14:paraId="0ADF9453" w14:textId="77777777" w:rsidR="003B41C3" w:rsidRDefault="003B41C3" w:rsidP="003B41C3">
      <w:pPr>
        <w:pStyle w:val="Prrafodelista"/>
        <w:ind w:left="76" w:right="-283"/>
        <w:jc w:val="both"/>
        <w:rPr>
          <w:b/>
          <w:lang w:val="es-CO"/>
        </w:rPr>
      </w:pPr>
    </w:p>
    <w:p w14:paraId="3E49E4B5" w14:textId="77777777" w:rsidR="003B41C3" w:rsidRDefault="003B41C3" w:rsidP="003B41C3">
      <w:pPr>
        <w:pStyle w:val="Prrafodelista"/>
        <w:ind w:left="76" w:right="-283"/>
        <w:jc w:val="both"/>
        <w:rPr>
          <w:lang w:val="es-CO"/>
        </w:rPr>
      </w:pPr>
      <w:r w:rsidRPr="00E46994">
        <w:rPr>
          <w:lang w:val="es-CO"/>
        </w:rPr>
        <w:t>De conformidad con el artículo 10 numeral 13 del Decreto 4085 de 2011</w:t>
      </w:r>
      <w:r>
        <w:rPr>
          <w:lang w:val="es-CO"/>
        </w:rPr>
        <w:t>, le corresponde al Consejo Directivo de la Agencia precisar los criterios de intervención en procesos judiciales teniendo en cuenta para el efecto la cuantía de las pretensiones, el impacto fiscal, la reiteración de las causas y la trascendencia jurídica de los temas que se debaten.</w:t>
      </w:r>
    </w:p>
    <w:p w14:paraId="33D7C234" w14:textId="77777777" w:rsidR="003B41C3" w:rsidRDefault="003B41C3" w:rsidP="003B41C3">
      <w:pPr>
        <w:pStyle w:val="Prrafodelista"/>
        <w:ind w:left="76" w:right="-283"/>
        <w:jc w:val="both"/>
        <w:rPr>
          <w:lang w:val="es-CO"/>
        </w:rPr>
      </w:pPr>
    </w:p>
    <w:p w14:paraId="7742258C" w14:textId="5B2DC32C" w:rsidR="003B41C3" w:rsidRDefault="003B41C3" w:rsidP="003B41C3">
      <w:pPr>
        <w:pStyle w:val="Prrafodelista"/>
        <w:ind w:left="76" w:right="-283"/>
        <w:jc w:val="both"/>
        <w:rPr>
          <w:lang w:val="es-CO"/>
        </w:rPr>
      </w:pPr>
      <w:r w:rsidRPr="0054072E">
        <w:rPr>
          <w:lang w:val="es-CO"/>
        </w:rPr>
        <w:t>En desarrollo de este mandato el Consejo Directivo de la Agencia fijo por primera vez dichos criterios en el Acuerdo 06 de 2012, el cual se mant</w:t>
      </w:r>
      <w:r w:rsidR="0054072E" w:rsidRPr="0054072E">
        <w:rPr>
          <w:lang w:val="es-CO"/>
        </w:rPr>
        <w:t>uvo vigente hasta el día 18 de septiembre de 2013</w:t>
      </w:r>
      <w:r w:rsidRPr="0054072E">
        <w:rPr>
          <w:lang w:val="es-CO"/>
        </w:rPr>
        <w:t>.</w:t>
      </w:r>
      <w:r>
        <w:rPr>
          <w:lang w:val="es-CO"/>
        </w:rPr>
        <w:t xml:space="preserve"> Este Acuerdo señaló como criterios de intervención obligatoria los 25 procesos más costosos, es decir aquellos que a la fecha del Acuerdo superaban un billón de pesos en pretensiones. De igual manera el Acuerdo señaló la necesidad de efectuar coordinación   en procesos cuyas pretensiones superaran la cuantía de $20.000 millones.</w:t>
      </w:r>
    </w:p>
    <w:p w14:paraId="3FA751D6" w14:textId="77777777" w:rsidR="003B41C3" w:rsidRDefault="003B41C3" w:rsidP="003B41C3">
      <w:pPr>
        <w:pStyle w:val="Prrafodelista"/>
        <w:ind w:left="76" w:right="-283"/>
        <w:jc w:val="both"/>
        <w:rPr>
          <w:lang w:val="es-CO"/>
        </w:rPr>
      </w:pPr>
    </w:p>
    <w:p w14:paraId="10FB60D4" w14:textId="77777777" w:rsidR="003B41C3" w:rsidRPr="00E46994" w:rsidRDefault="003B41C3" w:rsidP="003B41C3">
      <w:pPr>
        <w:pStyle w:val="Prrafodelista"/>
        <w:ind w:left="76" w:right="-283"/>
        <w:jc w:val="both"/>
        <w:rPr>
          <w:lang w:val="es-CO"/>
        </w:rPr>
      </w:pPr>
      <w:r>
        <w:rPr>
          <w:lang w:val="es-CO"/>
        </w:rPr>
        <w:t xml:space="preserve">A continuación se presenta un informe detallado sobre el estado de dichas intervenciones y coordinación de la defensa.           </w:t>
      </w:r>
    </w:p>
    <w:p w14:paraId="16BE4F94" w14:textId="77777777" w:rsidR="003B41C3" w:rsidRPr="00C65C55" w:rsidRDefault="003B41C3" w:rsidP="003B41C3">
      <w:pPr>
        <w:pStyle w:val="Prrafodelista"/>
        <w:ind w:left="0" w:right="-283"/>
        <w:jc w:val="both"/>
        <w:rPr>
          <w:b/>
          <w:lang w:val="es-CO"/>
        </w:rPr>
      </w:pPr>
    </w:p>
    <w:p w14:paraId="1DFF9AD6" w14:textId="77777777" w:rsidR="003B41C3" w:rsidRPr="00C65C55" w:rsidRDefault="003B41C3" w:rsidP="003B41C3">
      <w:pPr>
        <w:ind w:left="567" w:right="-283" w:hanging="567"/>
        <w:jc w:val="both"/>
        <w:rPr>
          <w:b/>
          <w:bCs/>
          <w:lang w:val="es-CO"/>
        </w:rPr>
      </w:pPr>
      <w:r w:rsidRPr="00C65C55">
        <w:rPr>
          <w:b/>
          <w:bCs/>
          <w:lang w:val="es-CO"/>
        </w:rPr>
        <w:t xml:space="preserve">4.1. </w:t>
      </w:r>
      <w:r>
        <w:rPr>
          <w:b/>
          <w:bCs/>
          <w:lang w:val="es-CO"/>
        </w:rPr>
        <w:t xml:space="preserve"> </w:t>
      </w:r>
      <w:r w:rsidRPr="00C65C55">
        <w:rPr>
          <w:b/>
          <w:bCs/>
          <w:lang w:val="es-CO"/>
        </w:rPr>
        <w:t>Gesti</w:t>
      </w:r>
      <w:r>
        <w:rPr>
          <w:b/>
          <w:bCs/>
          <w:lang w:val="es-CO"/>
        </w:rPr>
        <w:t xml:space="preserve">ón </w:t>
      </w:r>
      <w:r w:rsidRPr="00C65C55">
        <w:rPr>
          <w:b/>
          <w:bCs/>
          <w:lang w:val="es-CO"/>
        </w:rPr>
        <w:t>de la Dirección de Defensa Jurídica frente a los 25 procesos más cuantiosos para el Estado</w:t>
      </w:r>
      <w:r>
        <w:rPr>
          <w:b/>
          <w:bCs/>
          <w:lang w:val="es-CO"/>
        </w:rPr>
        <w:t>.</w:t>
      </w:r>
    </w:p>
    <w:p w14:paraId="71E3D4D0" w14:textId="77777777" w:rsidR="003B41C3" w:rsidRPr="00E83E3E" w:rsidRDefault="003B41C3" w:rsidP="003B41C3">
      <w:pPr>
        <w:ind w:right="-283"/>
        <w:jc w:val="both"/>
        <w:rPr>
          <w:lang w:val="es-MX"/>
        </w:rPr>
      </w:pPr>
      <w:r w:rsidRPr="00E83E3E">
        <w:rPr>
          <w:lang w:val="es-MX"/>
        </w:rPr>
        <w:t>La Dirección de Defensa Jurídica, en cumplimiento de lo previsto en el artículo 6º del Acuerdo 06 de 2012, evaluó la estrategia de defensa del Estado, así como los riesgos y probabilidades de éxito de los 25 procesos más cuantiosos que afronta el Estado</w:t>
      </w:r>
      <w:r>
        <w:rPr>
          <w:lang w:val="es-MX"/>
        </w:rPr>
        <w:t>. Estos son aquellos procesos cuyas pretensiones superaban un billón de pesos a diciembre de 2012.</w:t>
      </w:r>
    </w:p>
    <w:p w14:paraId="4C681DEE" w14:textId="77777777" w:rsidR="003B41C3" w:rsidRPr="00E83E3E" w:rsidRDefault="003B41C3" w:rsidP="003B41C3">
      <w:pPr>
        <w:ind w:right="-283"/>
        <w:jc w:val="both"/>
      </w:pPr>
      <w:r w:rsidRPr="00E83E3E">
        <w:t>El análisis comprendió: (i) la estimación de la cuantía de las pretensiones de cada proceso;  (ii) los argumentos de la defensa jurídica ejercida por el Estado;  (iii) las recomendaciones sobre los lineamientos para la estrategia de la defensa; (iv) así como los riesgos y las posibilidades de éxito de las demandas interpuestas.</w:t>
      </w:r>
    </w:p>
    <w:p w14:paraId="515122BB" w14:textId="77777777" w:rsidR="003B41C3" w:rsidRPr="00E83E3E" w:rsidRDefault="003B41C3" w:rsidP="003B41C3">
      <w:pPr>
        <w:ind w:right="-283"/>
        <w:jc w:val="both"/>
        <w:rPr>
          <w:bCs/>
          <w:lang w:val="es-CO"/>
        </w:rPr>
      </w:pPr>
      <w:r w:rsidRPr="00E83E3E">
        <w:rPr>
          <w:bCs/>
          <w:lang w:val="es-CO"/>
        </w:rPr>
        <w:t>Para emprender este análisis, previamente la Dirección de Defensa Jurídica depuró la información y encontró cuatro de ellos terminado</w:t>
      </w:r>
      <w:r>
        <w:rPr>
          <w:bCs/>
          <w:lang w:val="es-CO"/>
        </w:rPr>
        <w:t>s</w:t>
      </w:r>
      <w:r w:rsidRPr="00E83E3E">
        <w:rPr>
          <w:bCs/>
          <w:lang w:val="es-CO"/>
        </w:rPr>
        <w:t xml:space="preserve"> y uno repetido</w:t>
      </w:r>
      <w:r>
        <w:rPr>
          <w:bCs/>
          <w:lang w:val="es-CO"/>
        </w:rPr>
        <w:t>, así:</w:t>
      </w:r>
      <w:r w:rsidRPr="00E83E3E">
        <w:rPr>
          <w:bCs/>
          <w:lang w:val="es-CO"/>
        </w:rPr>
        <w:t xml:space="preserve"> </w:t>
      </w:r>
    </w:p>
    <w:p w14:paraId="30AE2FA9" w14:textId="77777777" w:rsidR="003B41C3" w:rsidRPr="00C65C55" w:rsidRDefault="003B41C3" w:rsidP="003B41C3">
      <w:pPr>
        <w:ind w:right="-283"/>
        <w:jc w:val="both"/>
        <w:rPr>
          <w:b/>
          <w:bCs/>
          <w:lang w:val="es-CO"/>
        </w:rPr>
      </w:pPr>
      <w:r>
        <w:rPr>
          <w:b/>
          <w:bCs/>
          <w:lang w:val="es-CO"/>
        </w:rPr>
        <w:t>4.1.1</w:t>
      </w:r>
      <w:r>
        <w:rPr>
          <w:b/>
          <w:bCs/>
          <w:lang w:val="es-CO"/>
        </w:rPr>
        <w:tab/>
      </w:r>
      <w:r w:rsidRPr="00C65C55">
        <w:rPr>
          <w:b/>
          <w:bCs/>
          <w:lang w:val="es-CO"/>
        </w:rPr>
        <w:t xml:space="preserve">Procesos Finalizados: </w:t>
      </w:r>
    </w:p>
    <w:p w14:paraId="25672410" w14:textId="77777777" w:rsidR="003B41C3" w:rsidRPr="00EF0DC1" w:rsidRDefault="003B41C3" w:rsidP="003B41C3">
      <w:pPr>
        <w:ind w:right="-283"/>
        <w:jc w:val="both"/>
        <w:rPr>
          <w:bCs/>
          <w:lang w:val="es-CO"/>
        </w:rPr>
      </w:pPr>
      <w:r>
        <w:rPr>
          <w:bCs/>
          <w:lang w:val="es-CO"/>
        </w:rPr>
        <w:t xml:space="preserve">Dentro de los </w:t>
      </w:r>
      <w:r w:rsidRPr="00EF0DC1">
        <w:rPr>
          <w:bCs/>
          <w:lang w:val="es-CO"/>
        </w:rPr>
        <w:t xml:space="preserve"> procesos </w:t>
      </w:r>
      <w:r>
        <w:rPr>
          <w:bCs/>
          <w:lang w:val="es-CO"/>
        </w:rPr>
        <w:t xml:space="preserve">enlistados </w:t>
      </w:r>
      <w:r w:rsidRPr="00EF0DC1">
        <w:rPr>
          <w:bCs/>
          <w:lang w:val="es-CO"/>
        </w:rPr>
        <w:t xml:space="preserve">en el Acuerdo </w:t>
      </w:r>
      <w:r>
        <w:rPr>
          <w:bCs/>
          <w:lang w:val="es-CO"/>
        </w:rPr>
        <w:t>0</w:t>
      </w:r>
      <w:r w:rsidRPr="00EF0DC1">
        <w:rPr>
          <w:bCs/>
          <w:lang w:val="es-CO"/>
        </w:rPr>
        <w:t>6 de 2012</w:t>
      </w:r>
      <w:r>
        <w:rPr>
          <w:bCs/>
          <w:lang w:val="es-CO"/>
        </w:rPr>
        <w:t xml:space="preserve"> como </w:t>
      </w:r>
      <w:r w:rsidRPr="00EF0DC1">
        <w:rPr>
          <w:bCs/>
          <w:lang w:val="es-CO"/>
        </w:rPr>
        <w:t>los 25 pleitos más costosos para el Estado,</w:t>
      </w:r>
      <w:r>
        <w:rPr>
          <w:bCs/>
          <w:lang w:val="es-CO"/>
        </w:rPr>
        <w:t xml:space="preserve"> los siguientes ya </w:t>
      </w:r>
      <w:r w:rsidRPr="00EF0DC1">
        <w:rPr>
          <w:bCs/>
          <w:lang w:val="es-CO"/>
        </w:rPr>
        <w:t>estaban terminados:</w:t>
      </w:r>
    </w:p>
    <w:p w14:paraId="00DF4019" w14:textId="77777777" w:rsidR="003B41C3" w:rsidRPr="001F5561" w:rsidRDefault="003B41C3" w:rsidP="003B41C3">
      <w:pPr>
        <w:pStyle w:val="Prrafodelista"/>
        <w:numPr>
          <w:ilvl w:val="0"/>
          <w:numId w:val="60"/>
        </w:numPr>
        <w:ind w:left="284" w:right="-283" w:hanging="284"/>
        <w:jc w:val="both"/>
        <w:rPr>
          <w:bCs/>
          <w:lang w:val="es-CO"/>
        </w:rPr>
      </w:pPr>
      <w:r>
        <w:rPr>
          <w:bCs/>
          <w:lang w:val="es-CO"/>
        </w:rPr>
        <w:t>A</w:t>
      </w:r>
      <w:r w:rsidRPr="001F5561">
        <w:rPr>
          <w:bCs/>
          <w:lang w:val="es-CO"/>
        </w:rPr>
        <w:t>cción de reparación directa contra</w:t>
      </w:r>
      <w:r>
        <w:rPr>
          <w:bCs/>
          <w:lang w:val="es-CO"/>
        </w:rPr>
        <w:t xml:space="preserve"> el</w:t>
      </w:r>
      <w:r w:rsidRPr="001F5561">
        <w:rPr>
          <w:bCs/>
          <w:lang w:val="es-CO"/>
        </w:rPr>
        <w:t xml:space="preserve"> Min</w:t>
      </w:r>
      <w:r>
        <w:rPr>
          <w:bCs/>
          <w:lang w:val="es-CO"/>
        </w:rPr>
        <w:t xml:space="preserve">isterio de </w:t>
      </w:r>
      <w:r w:rsidRPr="001F5561">
        <w:rPr>
          <w:bCs/>
          <w:lang w:val="es-CO"/>
        </w:rPr>
        <w:t xml:space="preserve">Agricultura </w:t>
      </w:r>
      <w:r>
        <w:rPr>
          <w:bCs/>
          <w:lang w:val="es-CO"/>
        </w:rPr>
        <w:t xml:space="preserve">- </w:t>
      </w:r>
      <w:r w:rsidRPr="001F5561">
        <w:rPr>
          <w:bCs/>
          <w:lang w:val="es-CO"/>
        </w:rPr>
        <w:t>INCORA</w:t>
      </w:r>
      <w:r>
        <w:rPr>
          <w:bCs/>
          <w:lang w:val="es-CO"/>
        </w:rPr>
        <w:t>-</w:t>
      </w:r>
      <w:r w:rsidRPr="001F5561">
        <w:rPr>
          <w:lang w:val="es-CO"/>
        </w:rPr>
        <w:t xml:space="preserve"> </w:t>
      </w:r>
      <w:r>
        <w:rPr>
          <w:lang w:val="es-CO"/>
        </w:rPr>
        <w:t xml:space="preserve">por </w:t>
      </w:r>
      <w:r w:rsidRPr="001F5561">
        <w:rPr>
          <w:lang w:val="es-CO"/>
        </w:rPr>
        <w:t xml:space="preserve">la </w:t>
      </w:r>
      <w:r>
        <w:rPr>
          <w:lang w:val="es-CO"/>
        </w:rPr>
        <w:t>cual</w:t>
      </w:r>
      <w:r w:rsidRPr="001F5561">
        <w:rPr>
          <w:lang w:val="es-CO"/>
        </w:rPr>
        <w:t xml:space="preserve"> se </w:t>
      </w:r>
      <w:r>
        <w:rPr>
          <w:lang w:val="es-CO"/>
        </w:rPr>
        <w:t xml:space="preserve">perseguía el pago de lucro cesante dejado de percibir por explotación económica   </w:t>
      </w:r>
      <w:r>
        <w:rPr>
          <w:lang w:val="es-CO"/>
        </w:rPr>
        <w:lastRenderedPageBreak/>
        <w:t>sobre 1926 km2 del oriente antioqueño., el cual reportaba pretensiones por cuantía de $886</w:t>
      </w:r>
      <w:r w:rsidRPr="001F5561">
        <w:rPr>
          <w:lang w:val="es-CO"/>
        </w:rPr>
        <w:t xml:space="preserve"> </w:t>
      </w:r>
      <w:r w:rsidRPr="001F5561">
        <w:rPr>
          <w:bCs/>
          <w:lang w:val="es-CO"/>
        </w:rPr>
        <w:t>billones.</w:t>
      </w:r>
    </w:p>
    <w:p w14:paraId="0FAAC119" w14:textId="77777777" w:rsidR="003B41C3" w:rsidRPr="001F5561" w:rsidRDefault="003B41C3" w:rsidP="003B41C3">
      <w:pPr>
        <w:pStyle w:val="Prrafodelista"/>
        <w:numPr>
          <w:ilvl w:val="0"/>
          <w:numId w:val="60"/>
        </w:numPr>
        <w:ind w:left="284" w:right="-283" w:hanging="284"/>
        <w:jc w:val="both"/>
        <w:rPr>
          <w:bCs/>
          <w:lang w:val="es-CO"/>
        </w:rPr>
      </w:pPr>
      <w:r w:rsidRPr="001F5561">
        <w:rPr>
          <w:bCs/>
          <w:lang w:val="es-CO"/>
        </w:rPr>
        <w:t>Dos Acciones de Grupo contra la Superintendencia Financiera de Colombia y otras entidades, por captación ilegal de recursos, que tenía</w:t>
      </w:r>
      <w:r>
        <w:rPr>
          <w:bCs/>
          <w:lang w:val="es-CO"/>
        </w:rPr>
        <w:t xml:space="preserve"> pretensiones del orden </w:t>
      </w:r>
      <w:r w:rsidRPr="001F5561">
        <w:rPr>
          <w:bCs/>
          <w:lang w:val="es-CO"/>
        </w:rPr>
        <w:t>de $2 billones.</w:t>
      </w:r>
    </w:p>
    <w:p w14:paraId="24BE9089" w14:textId="77777777" w:rsidR="003B41C3" w:rsidRPr="001F5561" w:rsidRDefault="003B41C3" w:rsidP="003B41C3">
      <w:pPr>
        <w:pStyle w:val="Prrafodelista"/>
        <w:numPr>
          <w:ilvl w:val="0"/>
          <w:numId w:val="60"/>
        </w:numPr>
        <w:ind w:left="284" w:right="-283" w:hanging="284"/>
        <w:jc w:val="both"/>
        <w:rPr>
          <w:bCs/>
          <w:lang w:val="es-CO"/>
        </w:rPr>
      </w:pPr>
      <w:r w:rsidRPr="001F5561">
        <w:rPr>
          <w:bCs/>
          <w:lang w:val="es-CO"/>
        </w:rPr>
        <w:t xml:space="preserve">Acción Popular </w:t>
      </w:r>
      <w:r>
        <w:rPr>
          <w:bCs/>
          <w:lang w:val="es-CO"/>
        </w:rPr>
        <w:t xml:space="preserve">de FEDEMUNICIPIOS </w:t>
      </w:r>
      <w:r w:rsidRPr="001F5561">
        <w:rPr>
          <w:bCs/>
          <w:lang w:val="es-CO"/>
        </w:rPr>
        <w:t xml:space="preserve">contra el Ministerio de Salud </w:t>
      </w:r>
      <w:r>
        <w:rPr>
          <w:bCs/>
          <w:lang w:val="es-CO"/>
        </w:rPr>
        <w:t>en la que se solicitaba el pago de</w:t>
      </w:r>
      <w:r w:rsidRPr="001F5561">
        <w:rPr>
          <w:bCs/>
          <w:lang w:val="es-CO"/>
        </w:rPr>
        <w:t xml:space="preserve"> un porcentaje de la UPC para </w:t>
      </w:r>
      <w:r>
        <w:rPr>
          <w:bCs/>
          <w:lang w:val="es-CO"/>
        </w:rPr>
        <w:t>el</w:t>
      </w:r>
      <w:r w:rsidRPr="001F5561">
        <w:rPr>
          <w:bCs/>
          <w:lang w:val="es-CO"/>
        </w:rPr>
        <w:t xml:space="preserve"> proyecto Telemedicina</w:t>
      </w:r>
      <w:r>
        <w:rPr>
          <w:bCs/>
          <w:lang w:val="es-CO"/>
        </w:rPr>
        <w:t xml:space="preserve"> cuyas pretensiones ascendían a</w:t>
      </w:r>
      <w:r w:rsidRPr="001F5561">
        <w:rPr>
          <w:bCs/>
          <w:lang w:val="es-CO"/>
        </w:rPr>
        <w:t xml:space="preserve"> una cuantía de $1,1 billones.</w:t>
      </w:r>
    </w:p>
    <w:p w14:paraId="3DBB9C71" w14:textId="77777777" w:rsidR="003B41C3" w:rsidRPr="00C65C55" w:rsidRDefault="003B41C3" w:rsidP="003B41C3">
      <w:pPr>
        <w:ind w:right="-283"/>
        <w:jc w:val="both"/>
        <w:rPr>
          <w:b/>
          <w:bCs/>
          <w:lang w:val="es-CO"/>
        </w:rPr>
      </w:pPr>
      <w:r>
        <w:rPr>
          <w:b/>
          <w:bCs/>
          <w:lang w:val="es-CO"/>
        </w:rPr>
        <w:t>4.1.2</w:t>
      </w:r>
      <w:r>
        <w:rPr>
          <w:b/>
          <w:bCs/>
          <w:lang w:val="es-CO"/>
        </w:rPr>
        <w:tab/>
      </w:r>
      <w:r w:rsidRPr="00C65C55">
        <w:rPr>
          <w:b/>
          <w:bCs/>
          <w:lang w:val="es-CO"/>
        </w:rPr>
        <w:t xml:space="preserve">Procesos depurados: </w:t>
      </w:r>
    </w:p>
    <w:p w14:paraId="616D73E0" w14:textId="77777777" w:rsidR="003B41C3" w:rsidRPr="00E83E3E" w:rsidRDefault="003B41C3" w:rsidP="003B41C3">
      <w:pPr>
        <w:ind w:right="-283"/>
        <w:jc w:val="both"/>
        <w:rPr>
          <w:bCs/>
          <w:lang w:val="es-CO"/>
        </w:rPr>
      </w:pPr>
      <w:r w:rsidRPr="00E83E3E">
        <w:rPr>
          <w:bCs/>
          <w:lang w:val="es-CO"/>
        </w:rPr>
        <w:t xml:space="preserve">Como se anotó, también se evidenció que dentro de los 25 pleitos más cuantiosos había uno repetido y otro cuya cuantía había sido ajustada, lo </w:t>
      </w:r>
      <w:r>
        <w:rPr>
          <w:bCs/>
          <w:lang w:val="es-CO"/>
        </w:rPr>
        <w:t>cual</w:t>
      </w:r>
      <w:r w:rsidRPr="00E83E3E">
        <w:rPr>
          <w:bCs/>
          <w:lang w:val="es-CO"/>
        </w:rPr>
        <w:t xml:space="preserve"> significó que salieran de</w:t>
      </w:r>
      <w:r>
        <w:rPr>
          <w:bCs/>
          <w:lang w:val="es-CO"/>
        </w:rPr>
        <w:t xml:space="preserve"> la lista de </w:t>
      </w:r>
      <w:r w:rsidRPr="00E83E3E">
        <w:rPr>
          <w:bCs/>
          <w:lang w:val="es-CO"/>
        </w:rPr>
        <w:t>los 25</w:t>
      </w:r>
      <w:r>
        <w:rPr>
          <w:bCs/>
          <w:lang w:val="es-CO"/>
        </w:rPr>
        <w:t xml:space="preserve"> procesos más costosos del Estado</w:t>
      </w:r>
      <w:r w:rsidRPr="00E83E3E">
        <w:rPr>
          <w:bCs/>
          <w:lang w:val="es-CO"/>
        </w:rPr>
        <w:t>:</w:t>
      </w:r>
    </w:p>
    <w:p w14:paraId="3F035235" w14:textId="77777777" w:rsidR="003B41C3" w:rsidRPr="001F5561" w:rsidRDefault="003B41C3" w:rsidP="003B41C3">
      <w:pPr>
        <w:pStyle w:val="Prrafodelista"/>
        <w:numPr>
          <w:ilvl w:val="0"/>
          <w:numId w:val="61"/>
        </w:numPr>
        <w:ind w:left="284" w:right="-283" w:hanging="284"/>
        <w:jc w:val="both"/>
        <w:rPr>
          <w:bCs/>
          <w:lang w:val="es-CO"/>
        </w:rPr>
      </w:pPr>
      <w:r w:rsidRPr="001F5561">
        <w:rPr>
          <w:bCs/>
          <w:lang w:val="es-CO"/>
        </w:rPr>
        <w:t>Acción de Grupo contra</w:t>
      </w:r>
      <w:r>
        <w:rPr>
          <w:bCs/>
          <w:lang w:val="es-CO"/>
        </w:rPr>
        <w:t xml:space="preserve"> la</w:t>
      </w:r>
      <w:r w:rsidRPr="001F5561">
        <w:rPr>
          <w:bCs/>
          <w:lang w:val="es-CO"/>
        </w:rPr>
        <w:t xml:space="preserve"> CAR Cundinamarca y otras entidades por la contaminación del embalse del Muña. Se ajustó la cuantía por parte de las entidades demandadas.  Inicialmente la cuantía era de $2.5 billones.</w:t>
      </w:r>
    </w:p>
    <w:p w14:paraId="7D75A26D" w14:textId="77777777" w:rsidR="003B41C3" w:rsidRPr="00E83E3E" w:rsidRDefault="003B41C3" w:rsidP="003B41C3">
      <w:pPr>
        <w:numPr>
          <w:ilvl w:val="0"/>
          <w:numId w:val="57"/>
        </w:numPr>
        <w:ind w:left="284" w:right="-283" w:hanging="284"/>
        <w:jc w:val="both"/>
        <w:rPr>
          <w:b/>
          <w:lang w:val="es-CO"/>
        </w:rPr>
      </w:pPr>
      <w:r w:rsidRPr="00E83E3E">
        <w:rPr>
          <w:bCs/>
          <w:lang w:val="es-CO"/>
        </w:rPr>
        <w:t xml:space="preserve">Acción de Grupo en contra de la Comisión de Regulación de Comunicaciones y  Ministerio de Tecnologías de la Información y Comunicaciones por el valor de la tarifa “fijo-móvil”.  Proceso repetido con cuantía de $1.4 billones. </w:t>
      </w:r>
    </w:p>
    <w:p w14:paraId="24E5345F" w14:textId="77777777" w:rsidR="003B41C3" w:rsidRDefault="003B41C3" w:rsidP="003B41C3">
      <w:pPr>
        <w:ind w:right="-283"/>
        <w:jc w:val="both"/>
        <w:rPr>
          <w:bCs/>
          <w:lang w:val="es-CO"/>
        </w:rPr>
      </w:pPr>
      <w:r w:rsidRPr="00E83E3E">
        <w:rPr>
          <w:bCs/>
          <w:lang w:val="es-CO"/>
        </w:rPr>
        <w:t xml:space="preserve">Hechas las anteriores precisiones, los 25 procesos más costosos para el Estado que fueron analizados y cuya cuantía total asciende a $63.2 billones, fueron los siguientes: </w:t>
      </w:r>
    </w:p>
    <w:p w14:paraId="0816F542" w14:textId="77777777" w:rsidR="003B41C3" w:rsidRPr="00E46994" w:rsidRDefault="003B41C3" w:rsidP="003B41C3">
      <w:pPr>
        <w:ind w:right="-283"/>
        <w:jc w:val="center"/>
        <w:rPr>
          <w:b/>
          <w:bCs/>
          <w:sz w:val="20"/>
          <w:szCs w:val="20"/>
          <w:lang w:val="es-CO"/>
        </w:rPr>
      </w:pPr>
      <w:r>
        <w:rPr>
          <w:b/>
          <w:bCs/>
          <w:sz w:val="20"/>
          <w:szCs w:val="20"/>
          <w:lang w:val="es-CO"/>
        </w:rPr>
        <w:t>Tabla 6: Los 25 Procesos más Costosos analizados</w:t>
      </w:r>
    </w:p>
    <w:tbl>
      <w:tblPr>
        <w:tblStyle w:val="Tablaconcuadrcula"/>
        <w:tblW w:w="8789" w:type="dxa"/>
        <w:tblInd w:w="137" w:type="dxa"/>
        <w:tblLook w:val="04A0" w:firstRow="1" w:lastRow="0" w:firstColumn="1" w:lastColumn="0" w:noHBand="0" w:noVBand="1"/>
      </w:tblPr>
      <w:tblGrid>
        <w:gridCol w:w="453"/>
        <w:gridCol w:w="1700"/>
        <w:gridCol w:w="2268"/>
        <w:gridCol w:w="2100"/>
        <w:gridCol w:w="2268"/>
      </w:tblGrid>
      <w:tr w:rsidR="003B41C3" w14:paraId="488B6589" w14:textId="77777777" w:rsidTr="003B41C3">
        <w:tc>
          <w:tcPr>
            <w:tcW w:w="45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CBA929" w14:textId="77777777" w:rsidR="003B41C3" w:rsidRPr="0038349F" w:rsidRDefault="003B41C3" w:rsidP="003B41C3">
            <w:pPr>
              <w:jc w:val="center"/>
              <w:rPr>
                <w:b/>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256EF9" w14:textId="77777777" w:rsidR="003B41C3" w:rsidRPr="0038349F" w:rsidRDefault="003B41C3" w:rsidP="003B41C3">
            <w:pPr>
              <w:jc w:val="center"/>
              <w:rPr>
                <w:b/>
                <w:sz w:val="20"/>
                <w:szCs w:val="20"/>
              </w:rPr>
            </w:pPr>
            <w:r w:rsidRPr="0038349F">
              <w:rPr>
                <w:b/>
                <w:sz w:val="20"/>
                <w:szCs w:val="20"/>
              </w:rPr>
              <w:t>ACCIÓN</w:t>
            </w:r>
          </w:p>
          <w:p w14:paraId="221F21A6" w14:textId="77777777" w:rsidR="003B41C3" w:rsidRPr="0038349F" w:rsidRDefault="003B41C3" w:rsidP="003B41C3">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5A92F5" w14:textId="77777777" w:rsidR="003B41C3" w:rsidRPr="0038349F" w:rsidRDefault="003B41C3" w:rsidP="003B41C3">
            <w:pPr>
              <w:jc w:val="center"/>
              <w:rPr>
                <w:b/>
                <w:sz w:val="20"/>
                <w:szCs w:val="20"/>
              </w:rPr>
            </w:pPr>
            <w:r w:rsidRPr="0038349F">
              <w:rPr>
                <w:b/>
                <w:sz w:val="20"/>
                <w:szCs w:val="20"/>
              </w:rPr>
              <w:t>ACTOR</w:t>
            </w:r>
          </w:p>
        </w:tc>
        <w:tc>
          <w:tcPr>
            <w:tcW w:w="210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C47693" w14:textId="77777777" w:rsidR="003B41C3" w:rsidRPr="0038349F" w:rsidRDefault="003B41C3" w:rsidP="003B41C3">
            <w:pPr>
              <w:jc w:val="center"/>
              <w:rPr>
                <w:b/>
                <w:sz w:val="20"/>
                <w:szCs w:val="20"/>
              </w:rPr>
            </w:pPr>
            <w:r w:rsidRPr="0038349F">
              <w:rPr>
                <w:b/>
                <w:sz w:val="20"/>
                <w:szCs w:val="20"/>
              </w:rPr>
              <w:t>DEMANDADO</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05E0BC" w14:textId="77777777" w:rsidR="003B41C3" w:rsidRPr="0038349F" w:rsidRDefault="003B41C3" w:rsidP="003B41C3">
            <w:pPr>
              <w:jc w:val="center"/>
              <w:rPr>
                <w:b/>
                <w:sz w:val="20"/>
                <w:szCs w:val="20"/>
              </w:rPr>
            </w:pPr>
            <w:r w:rsidRPr="0038349F">
              <w:rPr>
                <w:b/>
                <w:sz w:val="20"/>
                <w:szCs w:val="20"/>
              </w:rPr>
              <w:t>CUANTÍA</w:t>
            </w:r>
          </w:p>
        </w:tc>
      </w:tr>
      <w:tr w:rsidR="003B41C3" w14:paraId="1FF5706E"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6C31F6C" w14:textId="77777777" w:rsidR="003B41C3" w:rsidRPr="0038349F" w:rsidRDefault="003B41C3" w:rsidP="003B41C3">
            <w:pPr>
              <w:spacing w:line="0" w:lineRule="atLeast"/>
              <w:rPr>
                <w:b/>
                <w:sz w:val="20"/>
                <w:szCs w:val="20"/>
              </w:rPr>
            </w:pPr>
            <w:r w:rsidRPr="0038349F">
              <w:rPr>
                <w:b/>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14:paraId="2699463B" w14:textId="77777777" w:rsidR="003B41C3" w:rsidRPr="0038349F" w:rsidRDefault="003B41C3" w:rsidP="003B41C3">
            <w:pPr>
              <w:spacing w:line="0" w:lineRule="atLeast"/>
              <w:rPr>
                <w:sz w:val="20"/>
                <w:szCs w:val="20"/>
              </w:rPr>
            </w:pPr>
            <w:r w:rsidRPr="0038349F">
              <w:rPr>
                <w:sz w:val="20"/>
                <w:szCs w:val="20"/>
              </w:rPr>
              <w:t xml:space="preserve">Acción de Grupo </w:t>
            </w:r>
          </w:p>
        </w:tc>
        <w:tc>
          <w:tcPr>
            <w:tcW w:w="2268" w:type="dxa"/>
            <w:tcBorders>
              <w:top w:val="single" w:sz="4" w:space="0" w:color="auto"/>
              <w:left w:val="single" w:sz="4" w:space="0" w:color="auto"/>
              <w:bottom w:val="single" w:sz="4" w:space="0" w:color="auto"/>
              <w:right w:val="single" w:sz="4" w:space="0" w:color="auto"/>
            </w:tcBorders>
            <w:hideMark/>
          </w:tcPr>
          <w:p w14:paraId="612810A9" w14:textId="77777777" w:rsidR="003B41C3" w:rsidRPr="0038349F" w:rsidRDefault="003B41C3" w:rsidP="003B41C3">
            <w:pPr>
              <w:jc w:val="both"/>
              <w:rPr>
                <w:sz w:val="20"/>
                <w:szCs w:val="20"/>
              </w:rPr>
            </w:pPr>
            <w:r w:rsidRPr="0038349F">
              <w:rPr>
                <w:sz w:val="20"/>
                <w:szCs w:val="20"/>
              </w:rPr>
              <w:t>José Ricaurte Lozada y Otros</w:t>
            </w:r>
          </w:p>
        </w:tc>
        <w:tc>
          <w:tcPr>
            <w:tcW w:w="2100" w:type="dxa"/>
            <w:tcBorders>
              <w:top w:val="single" w:sz="4" w:space="0" w:color="auto"/>
              <w:left w:val="single" w:sz="4" w:space="0" w:color="auto"/>
              <w:bottom w:val="single" w:sz="4" w:space="0" w:color="auto"/>
              <w:right w:val="single" w:sz="4" w:space="0" w:color="auto"/>
            </w:tcBorders>
            <w:hideMark/>
          </w:tcPr>
          <w:p w14:paraId="59140B52" w14:textId="77777777" w:rsidR="003B41C3" w:rsidRPr="0038349F" w:rsidRDefault="003B41C3" w:rsidP="003B41C3">
            <w:pPr>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032027" w14:textId="77777777" w:rsidR="003B41C3" w:rsidRPr="0038349F" w:rsidRDefault="003B41C3" w:rsidP="003B41C3">
            <w:pPr>
              <w:rPr>
                <w:sz w:val="20"/>
                <w:szCs w:val="20"/>
              </w:rPr>
            </w:pPr>
            <w:r w:rsidRPr="0038349F">
              <w:rPr>
                <w:sz w:val="20"/>
                <w:szCs w:val="20"/>
              </w:rPr>
              <w:t>$6.708.960.000.000</w:t>
            </w:r>
          </w:p>
        </w:tc>
      </w:tr>
      <w:tr w:rsidR="003B41C3" w14:paraId="4BC86BCC"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5E6F3F8" w14:textId="77777777" w:rsidR="003B41C3" w:rsidRPr="0038349F" w:rsidRDefault="003B41C3" w:rsidP="003B41C3">
            <w:pPr>
              <w:spacing w:line="0" w:lineRule="atLeast"/>
              <w:jc w:val="both"/>
              <w:rPr>
                <w:b/>
                <w:sz w:val="20"/>
                <w:szCs w:val="20"/>
              </w:rPr>
            </w:pPr>
            <w:r w:rsidRPr="0038349F">
              <w:rPr>
                <w:b/>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14:paraId="282A39ED" w14:textId="77777777" w:rsidR="003B41C3" w:rsidRPr="0038349F" w:rsidRDefault="003B41C3" w:rsidP="003B41C3">
            <w:pPr>
              <w:spacing w:line="0" w:lineRule="atLeast"/>
              <w:jc w:val="both"/>
              <w:rPr>
                <w:sz w:val="20"/>
                <w:szCs w:val="20"/>
              </w:rPr>
            </w:pPr>
            <w:r w:rsidRPr="0038349F">
              <w:rPr>
                <w:sz w:val="20"/>
                <w:szCs w:val="20"/>
              </w:rPr>
              <w:t>Acción Reparación Directa</w:t>
            </w:r>
          </w:p>
        </w:tc>
        <w:tc>
          <w:tcPr>
            <w:tcW w:w="2268" w:type="dxa"/>
            <w:tcBorders>
              <w:top w:val="single" w:sz="4" w:space="0" w:color="auto"/>
              <w:left w:val="single" w:sz="4" w:space="0" w:color="auto"/>
              <w:bottom w:val="single" w:sz="4" w:space="0" w:color="auto"/>
              <w:right w:val="single" w:sz="4" w:space="0" w:color="auto"/>
            </w:tcBorders>
            <w:hideMark/>
          </w:tcPr>
          <w:p w14:paraId="76FD01DA" w14:textId="77777777" w:rsidR="003B41C3" w:rsidRPr="0038349F" w:rsidRDefault="003B41C3" w:rsidP="003B41C3">
            <w:pPr>
              <w:jc w:val="both"/>
              <w:rPr>
                <w:sz w:val="20"/>
                <w:szCs w:val="20"/>
              </w:rPr>
            </w:pPr>
            <w:r w:rsidRPr="0038349F">
              <w:rPr>
                <w:sz w:val="20"/>
                <w:szCs w:val="20"/>
              </w:rPr>
              <w:t>EPM Telecomunicaciones y Otros</w:t>
            </w:r>
          </w:p>
        </w:tc>
        <w:tc>
          <w:tcPr>
            <w:tcW w:w="2100" w:type="dxa"/>
            <w:tcBorders>
              <w:top w:val="single" w:sz="4" w:space="0" w:color="auto"/>
              <w:left w:val="single" w:sz="4" w:space="0" w:color="auto"/>
              <w:bottom w:val="single" w:sz="4" w:space="0" w:color="auto"/>
              <w:right w:val="single" w:sz="4" w:space="0" w:color="auto"/>
            </w:tcBorders>
            <w:hideMark/>
          </w:tcPr>
          <w:p w14:paraId="633CF058" w14:textId="77777777" w:rsidR="003B41C3" w:rsidRPr="0038349F" w:rsidRDefault="003B41C3" w:rsidP="003B41C3">
            <w:pPr>
              <w:jc w:val="both"/>
              <w:rPr>
                <w:sz w:val="20"/>
                <w:szCs w:val="20"/>
              </w:rPr>
            </w:pPr>
            <w:r w:rsidRPr="0038349F">
              <w:rPr>
                <w:sz w:val="20"/>
                <w:szCs w:val="20"/>
              </w:rPr>
              <w:t>Superintendencia de Industria y Comercio</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DD4C64" w14:textId="77777777" w:rsidR="003B41C3" w:rsidRPr="0038349F" w:rsidRDefault="003B41C3" w:rsidP="003B41C3">
            <w:pPr>
              <w:rPr>
                <w:sz w:val="20"/>
                <w:szCs w:val="20"/>
              </w:rPr>
            </w:pPr>
            <w:r w:rsidRPr="0038349F">
              <w:rPr>
                <w:sz w:val="20"/>
                <w:szCs w:val="20"/>
              </w:rPr>
              <w:t>$6.116.470.038.734</w:t>
            </w:r>
          </w:p>
        </w:tc>
      </w:tr>
      <w:tr w:rsidR="003B41C3" w14:paraId="25A2110F"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62DC5849" w14:textId="77777777" w:rsidR="003B41C3" w:rsidRPr="0038349F" w:rsidRDefault="003B41C3" w:rsidP="003B41C3">
            <w:pPr>
              <w:rPr>
                <w:b/>
                <w:sz w:val="20"/>
                <w:szCs w:val="20"/>
              </w:rPr>
            </w:pPr>
            <w:r w:rsidRPr="0038349F">
              <w:rPr>
                <w:b/>
                <w:sz w:val="20"/>
                <w:szCs w:val="20"/>
              </w:rPr>
              <w:t>3</w:t>
            </w:r>
          </w:p>
        </w:tc>
        <w:tc>
          <w:tcPr>
            <w:tcW w:w="1700" w:type="dxa"/>
            <w:tcBorders>
              <w:top w:val="single" w:sz="4" w:space="0" w:color="auto"/>
              <w:left w:val="single" w:sz="4" w:space="0" w:color="auto"/>
              <w:bottom w:val="single" w:sz="4" w:space="0" w:color="auto"/>
              <w:right w:val="single" w:sz="4" w:space="0" w:color="auto"/>
            </w:tcBorders>
            <w:hideMark/>
          </w:tcPr>
          <w:p w14:paraId="3A33C6EE" w14:textId="77777777" w:rsidR="003B41C3" w:rsidRPr="0038349F" w:rsidRDefault="003B41C3" w:rsidP="003B41C3">
            <w:pPr>
              <w:spacing w:line="0" w:lineRule="atLeast"/>
              <w:jc w:val="both"/>
              <w:rPr>
                <w:sz w:val="20"/>
                <w:szCs w:val="20"/>
              </w:rPr>
            </w:pPr>
            <w:r w:rsidRPr="0038349F">
              <w:rPr>
                <w:sz w:val="20"/>
                <w:szCs w:val="20"/>
              </w:rPr>
              <w:t>Acción de Grupo</w:t>
            </w:r>
          </w:p>
        </w:tc>
        <w:tc>
          <w:tcPr>
            <w:tcW w:w="2268" w:type="dxa"/>
            <w:tcBorders>
              <w:top w:val="single" w:sz="4" w:space="0" w:color="auto"/>
              <w:left w:val="single" w:sz="4" w:space="0" w:color="auto"/>
              <w:bottom w:val="single" w:sz="4" w:space="0" w:color="auto"/>
              <w:right w:val="single" w:sz="4" w:space="0" w:color="auto"/>
            </w:tcBorders>
            <w:hideMark/>
          </w:tcPr>
          <w:p w14:paraId="6F636D34" w14:textId="77777777" w:rsidR="003B41C3" w:rsidRPr="0038349F" w:rsidRDefault="003B41C3" w:rsidP="003B41C3">
            <w:pPr>
              <w:jc w:val="both"/>
              <w:rPr>
                <w:sz w:val="20"/>
                <w:szCs w:val="20"/>
              </w:rPr>
            </w:pPr>
            <w:r w:rsidRPr="0038349F">
              <w:rPr>
                <w:sz w:val="20"/>
                <w:szCs w:val="20"/>
              </w:rPr>
              <w:t>Fernando Rodr</w:t>
            </w:r>
            <w:r>
              <w:rPr>
                <w:sz w:val="20"/>
                <w:szCs w:val="20"/>
              </w:rPr>
              <w:t>í</w:t>
            </w:r>
            <w:r w:rsidRPr="0038349F">
              <w:rPr>
                <w:sz w:val="20"/>
                <w:szCs w:val="20"/>
              </w:rPr>
              <w:t>guez G. y Otros</w:t>
            </w:r>
          </w:p>
        </w:tc>
        <w:tc>
          <w:tcPr>
            <w:tcW w:w="2100" w:type="dxa"/>
            <w:tcBorders>
              <w:top w:val="single" w:sz="4" w:space="0" w:color="auto"/>
              <w:left w:val="single" w:sz="4" w:space="0" w:color="auto"/>
              <w:bottom w:val="single" w:sz="4" w:space="0" w:color="auto"/>
              <w:right w:val="single" w:sz="4" w:space="0" w:color="auto"/>
            </w:tcBorders>
            <w:hideMark/>
          </w:tcPr>
          <w:p w14:paraId="54614E70" w14:textId="77777777" w:rsidR="003B41C3" w:rsidRPr="0038349F" w:rsidRDefault="00C15372" w:rsidP="003B41C3">
            <w:pPr>
              <w:jc w:val="both"/>
              <w:rPr>
                <w:sz w:val="20"/>
                <w:szCs w:val="20"/>
              </w:rPr>
            </w:pPr>
            <w:r>
              <w:rPr>
                <w:sz w:val="20"/>
                <w:szCs w:val="20"/>
              </w:rPr>
              <w:t>Ministerio de Minas y Energía</w:t>
            </w:r>
            <w:r w:rsidR="003B41C3" w:rsidRPr="0038349F">
              <w:rPr>
                <w:sz w:val="20"/>
                <w:szCs w:val="20"/>
              </w:rPr>
              <w:t xml:space="preserve">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40B03EB" w14:textId="77777777" w:rsidR="003B41C3" w:rsidRPr="0038349F" w:rsidRDefault="003B41C3" w:rsidP="003B41C3">
            <w:pPr>
              <w:rPr>
                <w:sz w:val="20"/>
                <w:szCs w:val="20"/>
              </w:rPr>
            </w:pPr>
            <w:r w:rsidRPr="0038349F">
              <w:rPr>
                <w:sz w:val="20"/>
                <w:szCs w:val="20"/>
              </w:rPr>
              <w:t>$6.049.352.056.687</w:t>
            </w:r>
          </w:p>
        </w:tc>
      </w:tr>
      <w:tr w:rsidR="003B41C3" w14:paraId="7E473E86"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55753940" w14:textId="77777777" w:rsidR="003B41C3" w:rsidRPr="0038349F" w:rsidRDefault="003B41C3" w:rsidP="003B41C3">
            <w:pPr>
              <w:rPr>
                <w:b/>
                <w:sz w:val="20"/>
                <w:szCs w:val="20"/>
              </w:rPr>
            </w:pPr>
            <w:r w:rsidRPr="0038349F">
              <w:rPr>
                <w:b/>
                <w:sz w:val="20"/>
                <w:szCs w:val="20"/>
              </w:rPr>
              <w:t>4</w:t>
            </w:r>
          </w:p>
        </w:tc>
        <w:tc>
          <w:tcPr>
            <w:tcW w:w="1700" w:type="dxa"/>
            <w:tcBorders>
              <w:top w:val="single" w:sz="4" w:space="0" w:color="auto"/>
              <w:left w:val="single" w:sz="4" w:space="0" w:color="auto"/>
              <w:bottom w:val="single" w:sz="4" w:space="0" w:color="auto"/>
              <w:right w:val="single" w:sz="4" w:space="0" w:color="auto"/>
            </w:tcBorders>
          </w:tcPr>
          <w:p w14:paraId="0D222D10" w14:textId="77777777" w:rsidR="003B41C3" w:rsidRPr="0038349F" w:rsidRDefault="003B41C3" w:rsidP="003B41C3">
            <w:pPr>
              <w:spacing w:line="0" w:lineRule="atLeast"/>
              <w:rPr>
                <w:sz w:val="20"/>
                <w:szCs w:val="20"/>
              </w:rPr>
            </w:pPr>
            <w:r w:rsidRPr="0038349F">
              <w:rPr>
                <w:sz w:val="20"/>
                <w:szCs w:val="20"/>
              </w:rPr>
              <w:t xml:space="preserve">Acción de Grupo </w:t>
            </w:r>
          </w:p>
          <w:p w14:paraId="732765FF" w14:textId="77777777" w:rsidR="003B41C3" w:rsidRPr="0038349F" w:rsidRDefault="003B41C3" w:rsidP="003B41C3">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980E7C4" w14:textId="77777777" w:rsidR="003B41C3" w:rsidRPr="0038349F" w:rsidRDefault="003B41C3" w:rsidP="003B41C3">
            <w:pPr>
              <w:jc w:val="both"/>
              <w:rPr>
                <w:sz w:val="20"/>
                <w:szCs w:val="20"/>
              </w:rPr>
            </w:pPr>
            <w:r w:rsidRPr="0038349F">
              <w:rPr>
                <w:sz w:val="20"/>
                <w:szCs w:val="20"/>
              </w:rPr>
              <w:t>Alberto Caicedo Montenegro y Otros</w:t>
            </w:r>
          </w:p>
        </w:tc>
        <w:tc>
          <w:tcPr>
            <w:tcW w:w="2100" w:type="dxa"/>
            <w:tcBorders>
              <w:top w:val="single" w:sz="4" w:space="0" w:color="auto"/>
              <w:left w:val="single" w:sz="4" w:space="0" w:color="auto"/>
              <w:bottom w:val="single" w:sz="4" w:space="0" w:color="auto"/>
              <w:right w:val="single" w:sz="4" w:space="0" w:color="auto"/>
            </w:tcBorders>
            <w:hideMark/>
          </w:tcPr>
          <w:p w14:paraId="7148150E" w14:textId="77777777" w:rsidR="003B41C3" w:rsidRPr="0038349F" w:rsidRDefault="003B41C3" w:rsidP="003B41C3">
            <w:pPr>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5CA588" w14:textId="77777777" w:rsidR="003B41C3" w:rsidRPr="0038349F" w:rsidRDefault="003B41C3" w:rsidP="003B41C3">
            <w:pPr>
              <w:rPr>
                <w:sz w:val="20"/>
                <w:szCs w:val="20"/>
              </w:rPr>
            </w:pPr>
            <w:r w:rsidRPr="0038349F">
              <w:rPr>
                <w:sz w:val="20"/>
                <w:szCs w:val="20"/>
              </w:rPr>
              <w:t>$5.481.010.000.000</w:t>
            </w:r>
          </w:p>
        </w:tc>
      </w:tr>
      <w:tr w:rsidR="003B41C3" w14:paraId="315A13E0"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0E369F15" w14:textId="77777777" w:rsidR="003B41C3" w:rsidRPr="0038349F" w:rsidRDefault="003B41C3" w:rsidP="003B41C3">
            <w:pPr>
              <w:rPr>
                <w:b/>
                <w:sz w:val="20"/>
                <w:szCs w:val="20"/>
              </w:rPr>
            </w:pPr>
            <w:r w:rsidRPr="0038349F">
              <w:rPr>
                <w:b/>
                <w:sz w:val="20"/>
                <w:szCs w:val="20"/>
              </w:rPr>
              <w:t>5</w:t>
            </w:r>
          </w:p>
        </w:tc>
        <w:tc>
          <w:tcPr>
            <w:tcW w:w="1700" w:type="dxa"/>
            <w:tcBorders>
              <w:top w:val="single" w:sz="4" w:space="0" w:color="auto"/>
              <w:left w:val="single" w:sz="4" w:space="0" w:color="auto"/>
              <w:bottom w:val="single" w:sz="4" w:space="0" w:color="auto"/>
              <w:right w:val="single" w:sz="4" w:space="0" w:color="auto"/>
            </w:tcBorders>
          </w:tcPr>
          <w:p w14:paraId="60819A9B" w14:textId="77777777" w:rsidR="003B41C3" w:rsidRPr="0038349F" w:rsidRDefault="003B41C3" w:rsidP="003B41C3">
            <w:pPr>
              <w:spacing w:line="0" w:lineRule="atLeast"/>
              <w:jc w:val="both"/>
              <w:rPr>
                <w:sz w:val="20"/>
                <w:szCs w:val="20"/>
              </w:rPr>
            </w:pPr>
            <w:r w:rsidRPr="0038349F">
              <w:rPr>
                <w:sz w:val="20"/>
                <w:szCs w:val="20"/>
              </w:rPr>
              <w:t>Acción de Grupo</w:t>
            </w:r>
          </w:p>
          <w:p w14:paraId="67150C11" w14:textId="77777777" w:rsidR="003B41C3" w:rsidRPr="0038349F" w:rsidRDefault="003B41C3" w:rsidP="003B41C3">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D7CC743" w14:textId="77777777" w:rsidR="003B41C3" w:rsidRPr="0038349F" w:rsidRDefault="003B41C3" w:rsidP="003B41C3">
            <w:pPr>
              <w:jc w:val="both"/>
              <w:rPr>
                <w:sz w:val="20"/>
                <w:szCs w:val="20"/>
              </w:rPr>
            </w:pPr>
            <w:r w:rsidRPr="0038349F">
              <w:rPr>
                <w:sz w:val="20"/>
                <w:szCs w:val="20"/>
              </w:rPr>
              <w:t>David Ortiz Villa y Otros</w:t>
            </w:r>
          </w:p>
        </w:tc>
        <w:tc>
          <w:tcPr>
            <w:tcW w:w="2100" w:type="dxa"/>
            <w:tcBorders>
              <w:top w:val="single" w:sz="4" w:space="0" w:color="auto"/>
              <w:left w:val="single" w:sz="4" w:space="0" w:color="auto"/>
              <w:bottom w:val="single" w:sz="4" w:space="0" w:color="auto"/>
              <w:right w:val="single" w:sz="4" w:space="0" w:color="auto"/>
            </w:tcBorders>
            <w:hideMark/>
          </w:tcPr>
          <w:p w14:paraId="26F51C13" w14:textId="77777777" w:rsidR="003B41C3" w:rsidRPr="0038349F" w:rsidRDefault="003B41C3" w:rsidP="003B41C3">
            <w:pPr>
              <w:jc w:val="both"/>
              <w:rPr>
                <w:sz w:val="20"/>
                <w:szCs w:val="20"/>
              </w:rPr>
            </w:pPr>
            <w:proofErr w:type="spellStart"/>
            <w:r w:rsidRPr="0038349F">
              <w:rPr>
                <w:sz w:val="20"/>
                <w:szCs w:val="20"/>
              </w:rPr>
              <w:t>Cormagdalena</w:t>
            </w:r>
            <w:proofErr w:type="spellEnd"/>
            <w:r w:rsidRPr="0038349F">
              <w:rPr>
                <w:sz w:val="20"/>
                <w:szCs w:val="20"/>
              </w:rPr>
              <w:t xml:space="preserve">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442CA5D" w14:textId="77777777" w:rsidR="003B41C3" w:rsidRPr="0038349F" w:rsidRDefault="003B41C3" w:rsidP="003B41C3">
            <w:pPr>
              <w:rPr>
                <w:sz w:val="20"/>
                <w:szCs w:val="20"/>
              </w:rPr>
            </w:pPr>
            <w:r w:rsidRPr="0038349F">
              <w:rPr>
                <w:sz w:val="20"/>
                <w:szCs w:val="20"/>
              </w:rPr>
              <w:t>$4.544.338.162.000</w:t>
            </w:r>
          </w:p>
        </w:tc>
      </w:tr>
      <w:tr w:rsidR="003B41C3" w14:paraId="376300E8"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67B933CB" w14:textId="77777777" w:rsidR="003B41C3" w:rsidRPr="0038349F" w:rsidRDefault="003B41C3" w:rsidP="003B41C3">
            <w:pPr>
              <w:rPr>
                <w:b/>
                <w:sz w:val="20"/>
                <w:szCs w:val="20"/>
              </w:rPr>
            </w:pPr>
            <w:r w:rsidRPr="0038349F">
              <w:rPr>
                <w:b/>
                <w:sz w:val="20"/>
                <w:szCs w:val="20"/>
              </w:rPr>
              <w:t>6</w:t>
            </w:r>
          </w:p>
        </w:tc>
        <w:tc>
          <w:tcPr>
            <w:tcW w:w="1700" w:type="dxa"/>
            <w:tcBorders>
              <w:top w:val="single" w:sz="4" w:space="0" w:color="auto"/>
              <w:left w:val="single" w:sz="4" w:space="0" w:color="auto"/>
              <w:bottom w:val="single" w:sz="4" w:space="0" w:color="auto"/>
              <w:right w:val="single" w:sz="4" w:space="0" w:color="auto"/>
            </w:tcBorders>
          </w:tcPr>
          <w:p w14:paraId="4704CE29" w14:textId="77777777" w:rsidR="003B41C3" w:rsidRPr="0038349F" w:rsidRDefault="003B41C3" w:rsidP="003B41C3">
            <w:pPr>
              <w:spacing w:line="0" w:lineRule="atLeast"/>
              <w:rPr>
                <w:sz w:val="20"/>
                <w:szCs w:val="20"/>
              </w:rPr>
            </w:pPr>
            <w:r w:rsidRPr="0038349F">
              <w:rPr>
                <w:sz w:val="20"/>
                <w:szCs w:val="20"/>
              </w:rPr>
              <w:t xml:space="preserve">Acción de Grupo </w:t>
            </w:r>
          </w:p>
          <w:p w14:paraId="1E65C573" w14:textId="77777777" w:rsidR="003B41C3" w:rsidRPr="0038349F" w:rsidRDefault="003B41C3" w:rsidP="003B41C3">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1549C5A" w14:textId="77777777" w:rsidR="003B41C3" w:rsidRPr="0038349F" w:rsidRDefault="003B41C3" w:rsidP="003B41C3">
            <w:pPr>
              <w:jc w:val="both"/>
              <w:rPr>
                <w:sz w:val="20"/>
                <w:szCs w:val="20"/>
              </w:rPr>
            </w:pPr>
            <w:r w:rsidRPr="0038349F">
              <w:rPr>
                <w:sz w:val="20"/>
                <w:szCs w:val="20"/>
              </w:rPr>
              <w:t xml:space="preserve">Marlon </w:t>
            </w:r>
            <w:proofErr w:type="spellStart"/>
            <w:r w:rsidRPr="0038349F">
              <w:rPr>
                <w:sz w:val="20"/>
                <w:szCs w:val="20"/>
              </w:rPr>
              <w:t>Yohan</w:t>
            </w:r>
            <w:proofErr w:type="spellEnd"/>
            <w:r w:rsidRPr="0038349F">
              <w:rPr>
                <w:sz w:val="20"/>
                <w:szCs w:val="20"/>
              </w:rPr>
              <w:t xml:space="preserve"> Gutiérrez y Otros</w:t>
            </w:r>
          </w:p>
        </w:tc>
        <w:tc>
          <w:tcPr>
            <w:tcW w:w="2100" w:type="dxa"/>
            <w:tcBorders>
              <w:top w:val="single" w:sz="4" w:space="0" w:color="auto"/>
              <w:left w:val="single" w:sz="4" w:space="0" w:color="auto"/>
              <w:bottom w:val="single" w:sz="4" w:space="0" w:color="auto"/>
              <w:right w:val="single" w:sz="4" w:space="0" w:color="auto"/>
            </w:tcBorders>
            <w:hideMark/>
          </w:tcPr>
          <w:p w14:paraId="65FEFEC9" w14:textId="77777777" w:rsidR="003B41C3" w:rsidRPr="0038349F" w:rsidRDefault="003B41C3" w:rsidP="003B41C3">
            <w:pPr>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8159E9" w14:textId="77777777" w:rsidR="003B41C3" w:rsidRPr="0038349F" w:rsidRDefault="003B41C3" w:rsidP="003B41C3">
            <w:pPr>
              <w:rPr>
                <w:sz w:val="20"/>
                <w:szCs w:val="20"/>
              </w:rPr>
            </w:pPr>
            <w:r w:rsidRPr="0038349F">
              <w:rPr>
                <w:sz w:val="20"/>
                <w:szCs w:val="20"/>
              </w:rPr>
              <w:t>$4.414.710.366.720</w:t>
            </w:r>
          </w:p>
        </w:tc>
      </w:tr>
      <w:tr w:rsidR="003B41C3" w14:paraId="170809DC"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6C26A623" w14:textId="77777777" w:rsidR="003B41C3" w:rsidRPr="0038349F" w:rsidRDefault="003B41C3" w:rsidP="003B41C3">
            <w:pPr>
              <w:rPr>
                <w:b/>
                <w:sz w:val="20"/>
                <w:szCs w:val="20"/>
              </w:rPr>
            </w:pPr>
            <w:r w:rsidRPr="0038349F">
              <w:rPr>
                <w:b/>
                <w:sz w:val="20"/>
                <w:szCs w:val="20"/>
              </w:rPr>
              <w:t>7</w:t>
            </w:r>
          </w:p>
        </w:tc>
        <w:tc>
          <w:tcPr>
            <w:tcW w:w="1700" w:type="dxa"/>
            <w:tcBorders>
              <w:top w:val="single" w:sz="4" w:space="0" w:color="auto"/>
              <w:left w:val="single" w:sz="4" w:space="0" w:color="auto"/>
              <w:bottom w:val="single" w:sz="4" w:space="0" w:color="auto"/>
              <w:right w:val="single" w:sz="4" w:space="0" w:color="auto"/>
            </w:tcBorders>
          </w:tcPr>
          <w:p w14:paraId="21C0861A" w14:textId="77777777" w:rsidR="003B41C3" w:rsidRPr="0038349F" w:rsidRDefault="003B41C3" w:rsidP="003B41C3">
            <w:pPr>
              <w:spacing w:line="0" w:lineRule="atLeast"/>
              <w:rPr>
                <w:sz w:val="20"/>
                <w:szCs w:val="20"/>
              </w:rPr>
            </w:pPr>
            <w:r w:rsidRPr="0038349F">
              <w:rPr>
                <w:sz w:val="20"/>
                <w:szCs w:val="20"/>
              </w:rPr>
              <w:t xml:space="preserve">Acción de Grupo </w:t>
            </w:r>
          </w:p>
          <w:p w14:paraId="71E550CF" w14:textId="77777777" w:rsidR="003B41C3" w:rsidRPr="0038349F" w:rsidRDefault="003B41C3" w:rsidP="003B41C3">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55A0C57" w14:textId="77777777" w:rsidR="003B41C3" w:rsidRPr="0038349F" w:rsidRDefault="003B41C3" w:rsidP="003B41C3">
            <w:pPr>
              <w:jc w:val="both"/>
              <w:rPr>
                <w:sz w:val="20"/>
                <w:szCs w:val="20"/>
              </w:rPr>
            </w:pPr>
            <w:r w:rsidRPr="0038349F">
              <w:rPr>
                <w:sz w:val="20"/>
                <w:szCs w:val="20"/>
              </w:rPr>
              <w:t xml:space="preserve">Enrique </w:t>
            </w:r>
            <w:proofErr w:type="spellStart"/>
            <w:r w:rsidRPr="0038349F">
              <w:rPr>
                <w:sz w:val="20"/>
                <w:szCs w:val="20"/>
              </w:rPr>
              <w:t>Bazurto</w:t>
            </w:r>
            <w:proofErr w:type="spellEnd"/>
            <w:r w:rsidRPr="0038349F">
              <w:rPr>
                <w:sz w:val="20"/>
                <w:szCs w:val="20"/>
              </w:rPr>
              <w:t xml:space="preserve"> Rodríguez y Otros </w:t>
            </w:r>
          </w:p>
        </w:tc>
        <w:tc>
          <w:tcPr>
            <w:tcW w:w="2100" w:type="dxa"/>
            <w:tcBorders>
              <w:top w:val="single" w:sz="4" w:space="0" w:color="auto"/>
              <w:left w:val="single" w:sz="4" w:space="0" w:color="auto"/>
              <w:bottom w:val="single" w:sz="4" w:space="0" w:color="auto"/>
              <w:right w:val="single" w:sz="4" w:space="0" w:color="auto"/>
            </w:tcBorders>
            <w:hideMark/>
          </w:tcPr>
          <w:p w14:paraId="6A9811E3" w14:textId="77777777" w:rsidR="003B41C3" w:rsidRPr="0038349F" w:rsidRDefault="003B41C3" w:rsidP="003B41C3">
            <w:pPr>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F318B7" w14:textId="77777777" w:rsidR="003B41C3" w:rsidRPr="0038349F" w:rsidRDefault="003B41C3" w:rsidP="003B41C3">
            <w:pPr>
              <w:rPr>
                <w:sz w:val="20"/>
                <w:szCs w:val="20"/>
              </w:rPr>
            </w:pPr>
            <w:r w:rsidRPr="0038349F">
              <w:rPr>
                <w:sz w:val="20"/>
                <w:szCs w:val="20"/>
              </w:rPr>
              <w:t>$3.355.003.957.364</w:t>
            </w:r>
          </w:p>
        </w:tc>
      </w:tr>
      <w:tr w:rsidR="003B41C3" w14:paraId="6C237B57"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A6F0D8C" w14:textId="77777777" w:rsidR="003B41C3" w:rsidRPr="0038349F" w:rsidRDefault="003B41C3" w:rsidP="003B41C3">
            <w:pPr>
              <w:rPr>
                <w:b/>
                <w:sz w:val="20"/>
                <w:szCs w:val="20"/>
              </w:rPr>
            </w:pPr>
            <w:r w:rsidRPr="0038349F">
              <w:rPr>
                <w:b/>
                <w:sz w:val="20"/>
                <w:szCs w:val="20"/>
              </w:rPr>
              <w:lastRenderedPageBreak/>
              <w:t>8</w:t>
            </w:r>
          </w:p>
        </w:tc>
        <w:tc>
          <w:tcPr>
            <w:tcW w:w="1700" w:type="dxa"/>
            <w:tcBorders>
              <w:top w:val="single" w:sz="4" w:space="0" w:color="auto"/>
              <w:left w:val="single" w:sz="4" w:space="0" w:color="auto"/>
              <w:bottom w:val="single" w:sz="4" w:space="0" w:color="auto"/>
              <w:right w:val="single" w:sz="4" w:space="0" w:color="auto"/>
            </w:tcBorders>
          </w:tcPr>
          <w:p w14:paraId="0167786C" w14:textId="77777777" w:rsidR="003B41C3" w:rsidRPr="0038349F" w:rsidRDefault="003B41C3" w:rsidP="003B41C3">
            <w:pPr>
              <w:spacing w:line="0" w:lineRule="atLeast"/>
              <w:rPr>
                <w:sz w:val="20"/>
                <w:szCs w:val="20"/>
              </w:rPr>
            </w:pPr>
            <w:r w:rsidRPr="0038349F">
              <w:rPr>
                <w:sz w:val="20"/>
                <w:szCs w:val="20"/>
              </w:rPr>
              <w:t xml:space="preserve">Acción de Grupo </w:t>
            </w:r>
          </w:p>
          <w:p w14:paraId="7983826D" w14:textId="77777777" w:rsidR="003B41C3" w:rsidRPr="0038349F" w:rsidRDefault="003B41C3" w:rsidP="003B41C3">
            <w:pPr>
              <w:pStyle w:val="Prrafodelista"/>
              <w:spacing w:line="0" w:lineRule="atLeast"/>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52F7C78" w14:textId="77777777" w:rsidR="003B41C3" w:rsidRPr="0038349F" w:rsidRDefault="003B41C3" w:rsidP="003B41C3">
            <w:pPr>
              <w:jc w:val="both"/>
              <w:rPr>
                <w:sz w:val="20"/>
                <w:szCs w:val="20"/>
              </w:rPr>
            </w:pPr>
            <w:r w:rsidRPr="0038349F">
              <w:rPr>
                <w:sz w:val="20"/>
                <w:szCs w:val="20"/>
              </w:rPr>
              <w:t>Dora Cecilia Santos  y Otros</w:t>
            </w:r>
          </w:p>
        </w:tc>
        <w:tc>
          <w:tcPr>
            <w:tcW w:w="2100" w:type="dxa"/>
            <w:tcBorders>
              <w:top w:val="single" w:sz="4" w:space="0" w:color="auto"/>
              <w:left w:val="single" w:sz="4" w:space="0" w:color="auto"/>
              <w:bottom w:val="single" w:sz="4" w:space="0" w:color="auto"/>
              <w:right w:val="single" w:sz="4" w:space="0" w:color="auto"/>
            </w:tcBorders>
            <w:hideMark/>
          </w:tcPr>
          <w:p w14:paraId="49C6EA20" w14:textId="77777777" w:rsidR="003B41C3" w:rsidRPr="0038349F" w:rsidRDefault="003B41C3" w:rsidP="003B41C3">
            <w:pPr>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10A1FE" w14:textId="77777777" w:rsidR="003B41C3" w:rsidRPr="0038349F" w:rsidRDefault="003B41C3" w:rsidP="003B41C3">
            <w:pPr>
              <w:spacing w:line="0" w:lineRule="atLeast"/>
              <w:rPr>
                <w:sz w:val="20"/>
                <w:szCs w:val="20"/>
              </w:rPr>
            </w:pPr>
            <w:r w:rsidRPr="0038349F">
              <w:rPr>
                <w:sz w:val="20"/>
                <w:szCs w:val="20"/>
              </w:rPr>
              <w:t>$2.795.400.000.000</w:t>
            </w:r>
          </w:p>
        </w:tc>
      </w:tr>
      <w:tr w:rsidR="003B41C3" w14:paraId="472CFA15"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83FB25E" w14:textId="77777777" w:rsidR="003B41C3" w:rsidRPr="0038349F" w:rsidRDefault="003B41C3" w:rsidP="003B41C3">
            <w:pPr>
              <w:rPr>
                <w:b/>
                <w:sz w:val="20"/>
                <w:szCs w:val="20"/>
              </w:rPr>
            </w:pPr>
            <w:r w:rsidRPr="0038349F">
              <w:rPr>
                <w:b/>
                <w:sz w:val="20"/>
                <w:szCs w:val="20"/>
              </w:rPr>
              <w:t>9</w:t>
            </w:r>
          </w:p>
        </w:tc>
        <w:tc>
          <w:tcPr>
            <w:tcW w:w="1700" w:type="dxa"/>
            <w:tcBorders>
              <w:top w:val="single" w:sz="4" w:space="0" w:color="auto"/>
              <w:left w:val="single" w:sz="4" w:space="0" w:color="auto"/>
              <w:bottom w:val="single" w:sz="4" w:space="0" w:color="auto"/>
              <w:right w:val="single" w:sz="4" w:space="0" w:color="auto"/>
            </w:tcBorders>
          </w:tcPr>
          <w:p w14:paraId="2EAA7A12" w14:textId="77777777" w:rsidR="003B41C3" w:rsidRPr="0038349F" w:rsidRDefault="003B41C3" w:rsidP="003B41C3">
            <w:pPr>
              <w:spacing w:line="0" w:lineRule="atLeast"/>
              <w:rPr>
                <w:sz w:val="20"/>
                <w:szCs w:val="20"/>
              </w:rPr>
            </w:pPr>
            <w:r w:rsidRPr="0038349F">
              <w:rPr>
                <w:sz w:val="20"/>
                <w:szCs w:val="20"/>
              </w:rPr>
              <w:t xml:space="preserve">Acción de Grupo </w:t>
            </w:r>
          </w:p>
          <w:p w14:paraId="5D19C7AC" w14:textId="77777777" w:rsidR="003B41C3" w:rsidRPr="0038349F" w:rsidRDefault="003B41C3" w:rsidP="003B41C3">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10E0819" w14:textId="77777777" w:rsidR="003B41C3" w:rsidRPr="0038349F" w:rsidRDefault="003B41C3" w:rsidP="003B41C3">
            <w:pPr>
              <w:jc w:val="both"/>
              <w:rPr>
                <w:sz w:val="20"/>
                <w:szCs w:val="20"/>
              </w:rPr>
            </w:pPr>
            <w:r w:rsidRPr="0038349F">
              <w:rPr>
                <w:sz w:val="20"/>
                <w:szCs w:val="20"/>
              </w:rPr>
              <w:t>Luis Alejandro Ospina Acosta y Otros</w:t>
            </w:r>
          </w:p>
        </w:tc>
        <w:tc>
          <w:tcPr>
            <w:tcW w:w="2100" w:type="dxa"/>
            <w:tcBorders>
              <w:top w:val="single" w:sz="4" w:space="0" w:color="auto"/>
              <w:left w:val="single" w:sz="4" w:space="0" w:color="auto"/>
              <w:bottom w:val="single" w:sz="4" w:space="0" w:color="auto"/>
              <w:right w:val="single" w:sz="4" w:space="0" w:color="auto"/>
            </w:tcBorders>
            <w:hideMark/>
          </w:tcPr>
          <w:p w14:paraId="52596F2A" w14:textId="77777777" w:rsidR="003B41C3" w:rsidRPr="0038349F" w:rsidRDefault="003B41C3" w:rsidP="003B41C3">
            <w:pPr>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0A6E0E" w14:textId="77777777" w:rsidR="003B41C3" w:rsidRPr="0038349F" w:rsidRDefault="003B41C3" w:rsidP="003B41C3">
            <w:pPr>
              <w:jc w:val="both"/>
              <w:rPr>
                <w:sz w:val="20"/>
                <w:szCs w:val="20"/>
              </w:rPr>
            </w:pPr>
            <w:r w:rsidRPr="0038349F">
              <w:rPr>
                <w:sz w:val="20"/>
                <w:szCs w:val="20"/>
              </w:rPr>
              <w:t>$2.236.584.601.382</w:t>
            </w:r>
          </w:p>
        </w:tc>
      </w:tr>
      <w:tr w:rsidR="003B41C3" w14:paraId="20526B85"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382E028" w14:textId="77777777" w:rsidR="003B41C3" w:rsidRPr="0038349F" w:rsidRDefault="003B41C3" w:rsidP="003B41C3">
            <w:pPr>
              <w:rPr>
                <w:b/>
                <w:sz w:val="20"/>
                <w:szCs w:val="20"/>
              </w:rPr>
            </w:pPr>
            <w:r w:rsidRPr="0038349F">
              <w:rPr>
                <w:b/>
                <w:sz w:val="20"/>
                <w:szCs w:val="20"/>
              </w:rPr>
              <w:t>10</w:t>
            </w:r>
          </w:p>
        </w:tc>
        <w:tc>
          <w:tcPr>
            <w:tcW w:w="1700" w:type="dxa"/>
            <w:tcBorders>
              <w:top w:val="single" w:sz="4" w:space="0" w:color="auto"/>
              <w:left w:val="single" w:sz="4" w:space="0" w:color="auto"/>
              <w:bottom w:val="single" w:sz="4" w:space="0" w:color="auto"/>
              <w:right w:val="single" w:sz="4" w:space="0" w:color="auto"/>
            </w:tcBorders>
          </w:tcPr>
          <w:p w14:paraId="6EDE20EA" w14:textId="77777777" w:rsidR="003B41C3" w:rsidRPr="0038349F" w:rsidRDefault="003B41C3" w:rsidP="003B41C3">
            <w:pPr>
              <w:spacing w:line="0" w:lineRule="atLeast"/>
              <w:rPr>
                <w:sz w:val="20"/>
                <w:szCs w:val="20"/>
              </w:rPr>
            </w:pPr>
            <w:r w:rsidRPr="0038349F">
              <w:rPr>
                <w:sz w:val="20"/>
                <w:szCs w:val="20"/>
              </w:rPr>
              <w:t xml:space="preserve">Acción de Grupo </w:t>
            </w:r>
          </w:p>
          <w:p w14:paraId="5AA1AEA9" w14:textId="77777777" w:rsidR="003B41C3" w:rsidRPr="0038349F" w:rsidRDefault="003B41C3" w:rsidP="003B41C3">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7B67AC4" w14:textId="77777777" w:rsidR="003B41C3" w:rsidRPr="0038349F" w:rsidRDefault="003B41C3" w:rsidP="003B41C3">
            <w:pPr>
              <w:jc w:val="both"/>
              <w:rPr>
                <w:sz w:val="20"/>
                <w:szCs w:val="20"/>
              </w:rPr>
            </w:pPr>
            <w:r w:rsidRPr="0038349F">
              <w:rPr>
                <w:sz w:val="20"/>
                <w:szCs w:val="20"/>
              </w:rPr>
              <w:t xml:space="preserve">Patricia del Carmen </w:t>
            </w:r>
            <w:proofErr w:type="spellStart"/>
            <w:r w:rsidRPr="0038349F">
              <w:rPr>
                <w:sz w:val="20"/>
                <w:szCs w:val="20"/>
              </w:rPr>
              <w:t>Anchicanoy</w:t>
            </w:r>
            <w:proofErr w:type="spellEnd"/>
            <w:r w:rsidRPr="0038349F">
              <w:rPr>
                <w:sz w:val="20"/>
                <w:szCs w:val="20"/>
              </w:rPr>
              <w:t xml:space="preserve"> y Otros</w:t>
            </w:r>
          </w:p>
        </w:tc>
        <w:tc>
          <w:tcPr>
            <w:tcW w:w="2100" w:type="dxa"/>
            <w:tcBorders>
              <w:top w:val="single" w:sz="4" w:space="0" w:color="auto"/>
              <w:left w:val="single" w:sz="4" w:space="0" w:color="auto"/>
              <w:bottom w:val="single" w:sz="4" w:space="0" w:color="auto"/>
              <w:right w:val="single" w:sz="4" w:space="0" w:color="auto"/>
            </w:tcBorders>
            <w:hideMark/>
          </w:tcPr>
          <w:p w14:paraId="7E905DDB" w14:textId="77777777" w:rsidR="003B41C3" w:rsidRPr="0038349F" w:rsidRDefault="003B41C3" w:rsidP="003B41C3">
            <w:pPr>
              <w:spacing w:line="0" w:lineRule="atLeast"/>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6DA4A8" w14:textId="77777777" w:rsidR="003B41C3" w:rsidRPr="0038349F" w:rsidRDefault="003B41C3" w:rsidP="003B41C3">
            <w:pPr>
              <w:rPr>
                <w:sz w:val="20"/>
                <w:szCs w:val="20"/>
              </w:rPr>
            </w:pPr>
            <w:r w:rsidRPr="0038349F">
              <w:rPr>
                <w:sz w:val="20"/>
                <w:szCs w:val="20"/>
              </w:rPr>
              <w:t>$2.192.404.000.000</w:t>
            </w:r>
          </w:p>
        </w:tc>
      </w:tr>
      <w:tr w:rsidR="003B41C3" w14:paraId="44953530"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14F3806C" w14:textId="77777777" w:rsidR="003B41C3" w:rsidRPr="0038349F" w:rsidRDefault="003B41C3" w:rsidP="003B41C3">
            <w:pPr>
              <w:rPr>
                <w:b/>
                <w:sz w:val="20"/>
                <w:szCs w:val="20"/>
              </w:rPr>
            </w:pPr>
            <w:r w:rsidRPr="0038349F">
              <w:rPr>
                <w:b/>
                <w:sz w:val="20"/>
                <w:szCs w:val="20"/>
              </w:rPr>
              <w:t>11</w:t>
            </w:r>
          </w:p>
        </w:tc>
        <w:tc>
          <w:tcPr>
            <w:tcW w:w="1700" w:type="dxa"/>
            <w:tcBorders>
              <w:top w:val="single" w:sz="4" w:space="0" w:color="auto"/>
              <w:left w:val="single" w:sz="4" w:space="0" w:color="auto"/>
              <w:bottom w:val="single" w:sz="4" w:space="0" w:color="auto"/>
              <w:right w:val="single" w:sz="4" w:space="0" w:color="auto"/>
            </w:tcBorders>
          </w:tcPr>
          <w:p w14:paraId="5C925E10" w14:textId="77777777" w:rsidR="003B41C3" w:rsidRPr="0038349F" w:rsidRDefault="003B41C3" w:rsidP="003B41C3">
            <w:pPr>
              <w:spacing w:line="0" w:lineRule="atLeast"/>
              <w:rPr>
                <w:sz w:val="20"/>
                <w:szCs w:val="20"/>
              </w:rPr>
            </w:pPr>
            <w:r w:rsidRPr="0038349F">
              <w:rPr>
                <w:sz w:val="20"/>
                <w:szCs w:val="20"/>
              </w:rPr>
              <w:t xml:space="preserve">Acción de Grupo </w:t>
            </w:r>
          </w:p>
          <w:p w14:paraId="762F79CE" w14:textId="77777777" w:rsidR="003B41C3" w:rsidRPr="0038349F" w:rsidRDefault="003B41C3" w:rsidP="003B41C3">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660C68E" w14:textId="77777777" w:rsidR="003B41C3" w:rsidRPr="0038349F" w:rsidRDefault="003B41C3" w:rsidP="003B41C3">
            <w:pPr>
              <w:jc w:val="both"/>
              <w:rPr>
                <w:sz w:val="20"/>
                <w:szCs w:val="20"/>
              </w:rPr>
            </w:pPr>
            <w:r w:rsidRPr="0038349F">
              <w:rPr>
                <w:sz w:val="20"/>
                <w:szCs w:val="20"/>
              </w:rPr>
              <w:t xml:space="preserve">Nidia del Socorro Acosta y Otros </w:t>
            </w:r>
          </w:p>
        </w:tc>
        <w:tc>
          <w:tcPr>
            <w:tcW w:w="2100" w:type="dxa"/>
            <w:tcBorders>
              <w:top w:val="single" w:sz="4" w:space="0" w:color="auto"/>
              <w:left w:val="single" w:sz="4" w:space="0" w:color="auto"/>
              <w:bottom w:val="single" w:sz="4" w:space="0" w:color="auto"/>
              <w:right w:val="single" w:sz="4" w:space="0" w:color="auto"/>
            </w:tcBorders>
            <w:hideMark/>
          </w:tcPr>
          <w:p w14:paraId="19ADECA9" w14:textId="77777777" w:rsidR="003B41C3" w:rsidRPr="0038349F" w:rsidRDefault="003B41C3" w:rsidP="003B41C3">
            <w:pPr>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5CD647" w14:textId="77777777" w:rsidR="003B41C3" w:rsidRPr="0038349F" w:rsidRDefault="003B41C3" w:rsidP="003B41C3">
            <w:pPr>
              <w:rPr>
                <w:sz w:val="20"/>
                <w:szCs w:val="20"/>
              </w:rPr>
            </w:pPr>
            <w:r w:rsidRPr="0038349F">
              <w:rPr>
                <w:sz w:val="20"/>
                <w:szCs w:val="20"/>
              </w:rPr>
              <w:t>$2.192.404.000.000</w:t>
            </w:r>
          </w:p>
        </w:tc>
      </w:tr>
      <w:tr w:rsidR="003B41C3" w14:paraId="19E998B7"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B2652A6" w14:textId="77777777" w:rsidR="003B41C3" w:rsidRPr="0038349F" w:rsidRDefault="003B41C3" w:rsidP="003B41C3">
            <w:pPr>
              <w:rPr>
                <w:b/>
                <w:sz w:val="20"/>
                <w:szCs w:val="20"/>
              </w:rPr>
            </w:pPr>
            <w:r w:rsidRPr="0038349F">
              <w:rPr>
                <w:b/>
                <w:sz w:val="20"/>
                <w:szCs w:val="20"/>
              </w:rPr>
              <w:t>12</w:t>
            </w:r>
          </w:p>
        </w:tc>
        <w:tc>
          <w:tcPr>
            <w:tcW w:w="1700" w:type="dxa"/>
            <w:tcBorders>
              <w:top w:val="single" w:sz="4" w:space="0" w:color="auto"/>
              <w:left w:val="single" w:sz="4" w:space="0" w:color="auto"/>
              <w:bottom w:val="single" w:sz="4" w:space="0" w:color="auto"/>
              <w:right w:val="single" w:sz="4" w:space="0" w:color="auto"/>
            </w:tcBorders>
          </w:tcPr>
          <w:p w14:paraId="783D6678" w14:textId="77777777" w:rsidR="003B41C3" w:rsidRPr="0038349F" w:rsidRDefault="003B41C3" w:rsidP="003B41C3">
            <w:pPr>
              <w:spacing w:line="0" w:lineRule="atLeast"/>
              <w:rPr>
                <w:sz w:val="20"/>
                <w:szCs w:val="20"/>
              </w:rPr>
            </w:pPr>
            <w:r w:rsidRPr="0038349F">
              <w:rPr>
                <w:sz w:val="20"/>
                <w:szCs w:val="20"/>
              </w:rPr>
              <w:t>Acción de Grupo</w:t>
            </w:r>
          </w:p>
          <w:p w14:paraId="66910453" w14:textId="77777777" w:rsidR="003B41C3" w:rsidRPr="0038349F" w:rsidRDefault="003B41C3" w:rsidP="003B41C3">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45FD25F" w14:textId="77777777" w:rsidR="003B41C3" w:rsidRPr="0038349F" w:rsidRDefault="003B41C3" w:rsidP="003B41C3">
            <w:pPr>
              <w:jc w:val="both"/>
              <w:rPr>
                <w:sz w:val="20"/>
                <w:szCs w:val="20"/>
              </w:rPr>
            </w:pPr>
            <w:r w:rsidRPr="0038349F">
              <w:rPr>
                <w:sz w:val="20"/>
                <w:szCs w:val="20"/>
              </w:rPr>
              <w:t xml:space="preserve">José </w:t>
            </w:r>
            <w:proofErr w:type="spellStart"/>
            <w:r w:rsidRPr="0038349F">
              <w:rPr>
                <w:sz w:val="20"/>
                <w:szCs w:val="20"/>
              </w:rPr>
              <w:t>Herney</w:t>
            </w:r>
            <w:proofErr w:type="spellEnd"/>
            <w:r w:rsidRPr="0038349F">
              <w:rPr>
                <w:sz w:val="20"/>
                <w:szCs w:val="20"/>
              </w:rPr>
              <w:t xml:space="preserve"> Ruíz y Otros</w:t>
            </w:r>
          </w:p>
        </w:tc>
        <w:tc>
          <w:tcPr>
            <w:tcW w:w="2100" w:type="dxa"/>
            <w:tcBorders>
              <w:top w:val="single" w:sz="4" w:space="0" w:color="auto"/>
              <w:left w:val="single" w:sz="4" w:space="0" w:color="auto"/>
              <w:bottom w:val="single" w:sz="4" w:space="0" w:color="auto"/>
              <w:right w:val="single" w:sz="4" w:space="0" w:color="auto"/>
            </w:tcBorders>
            <w:hideMark/>
          </w:tcPr>
          <w:p w14:paraId="4B1667C5" w14:textId="77777777" w:rsidR="003B41C3" w:rsidRPr="0038349F" w:rsidRDefault="003B41C3" w:rsidP="003B41C3">
            <w:pPr>
              <w:spacing w:line="0" w:lineRule="atLeast"/>
              <w:jc w:val="both"/>
              <w:rPr>
                <w:sz w:val="20"/>
                <w:szCs w:val="20"/>
              </w:rPr>
            </w:pPr>
            <w:r w:rsidRPr="0038349F">
              <w:rPr>
                <w:sz w:val="20"/>
                <w:szCs w:val="20"/>
              </w:rPr>
              <w:t>Min Defensa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597C191" w14:textId="77777777" w:rsidR="003B41C3" w:rsidRPr="0038349F" w:rsidRDefault="003B41C3" w:rsidP="003B41C3">
            <w:pPr>
              <w:rPr>
                <w:sz w:val="20"/>
                <w:szCs w:val="20"/>
              </w:rPr>
            </w:pPr>
            <w:r w:rsidRPr="0038349F">
              <w:rPr>
                <w:sz w:val="20"/>
                <w:szCs w:val="20"/>
              </w:rPr>
              <w:t>$ 1.996.909.879.234</w:t>
            </w:r>
          </w:p>
        </w:tc>
      </w:tr>
      <w:tr w:rsidR="003B41C3" w14:paraId="709EE3AF"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194716F" w14:textId="77777777" w:rsidR="003B41C3" w:rsidRPr="0038349F" w:rsidRDefault="003B41C3" w:rsidP="003B41C3">
            <w:pPr>
              <w:rPr>
                <w:b/>
                <w:sz w:val="20"/>
                <w:szCs w:val="20"/>
              </w:rPr>
            </w:pPr>
            <w:r w:rsidRPr="0038349F">
              <w:rPr>
                <w:b/>
                <w:sz w:val="20"/>
                <w:szCs w:val="20"/>
              </w:rPr>
              <w:t>13</w:t>
            </w:r>
          </w:p>
        </w:tc>
        <w:tc>
          <w:tcPr>
            <w:tcW w:w="1700" w:type="dxa"/>
            <w:tcBorders>
              <w:top w:val="single" w:sz="4" w:space="0" w:color="auto"/>
              <w:left w:val="single" w:sz="4" w:space="0" w:color="auto"/>
              <w:bottom w:val="single" w:sz="4" w:space="0" w:color="auto"/>
              <w:right w:val="single" w:sz="4" w:space="0" w:color="auto"/>
            </w:tcBorders>
            <w:hideMark/>
          </w:tcPr>
          <w:p w14:paraId="26D077B5" w14:textId="77777777" w:rsidR="003B41C3" w:rsidRPr="0038349F" w:rsidRDefault="003B41C3" w:rsidP="003B41C3">
            <w:pPr>
              <w:tabs>
                <w:tab w:val="left" w:pos="4536"/>
              </w:tabs>
              <w:spacing w:line="0" w:lineRule="atLeast"/>
              <w:jc w:val="both"/>
              <w:rPr>
                <w:sz w:val="20"/>
                <w:szCs w:val="20"/>
              </w:rPr>
            </w:pPr>
            <w:r w:rsidRPr="0038349F">
              <w:rPr>
                <w:sz w:val="20"/>
                <w:szCs w:val="20"/>
                <w:lang w:val="es-MX"/>
              </w:rPr>
              <w:t>Acción Reparación Directa</w:t>
            </w:r>
          </w:p>
        </w:tc>
        <w:tc>
          <w:tcPr>
            <w:tcW w:w="2268" w:type="dxa"/>
            <w:tcBorders>
              <w:top w:val="single" w:sz="4" w:space="0" w:color="auto"/>
              <w:left w:val="single" w:sz="4" w:space="0" w:color="auto"/>
              <w:bottom w:val="single" w:sz="4" w:space="0" w:color="auto"/>
              <w:right w:val="single" w:sz="4" w:space="0" w:color="auto"/>
            </w:tcBorders>
          </w:tcPr>
          <w:p w14:paraId="268D2011" w14:textId="77777777" w:rsidR="003B41C3" w:rsidRPr="0038349F" w:rsidRDefault="003B41C3" w:rsidP="003B41C3">
            <w:pPr>
              <w:tabs>
                <w:tab w:val="left" w:pos="4536"/>
              </w:tabs>
              <w:spacing w:line="0" w:lineRule="atLeast"/>
              <w:jc w:val="both"/>
              <w:rPr>
                <w:sz w:val="20"/>
                <w:szCs w:val="20"/>
                <w:lang w:val="es-MX"/>
              </w:rPr>
            </w:pPr>
            <w:r w:rsidRPr="0038349F">
              <w:rPr>
                <w:sz w:val="20"/>
                <w:szCs w:val="20"/>
                <w:lang w:val="es-MX"/>
              </w:rPr>
              <w:t xml:space="preserve">APETRANS </w:t>
            </w:r>
          </w:p>
          <w:p w14:paraId="0F13E054" w14:textId="77777777" w:rsidR="003B41C3" w:rsidRPr="0038349F" w:rsidRDefault="003B41C3" w:rsidP="003B41C3">
            <w:pPr>
              <w:jc w:val="both"/>
              <w:rPr>
                <w:sz w:val="20"/>
                <w:szCs w:val="20"/>
                <w:lang w:val="es-MX"/>
              </w:rPr>
            </w:pPr>
          </w:p>
        </w:tc>
        <w:tc>
          <w:tcPr>
            <w:tcW w:w="2100" w:type="dxa"/>
            <w:tcBorders>
              <w:top w:val="single" w:sz="4" w:space="0" w:color="auto"/>
              <w:left w:val="single" w:sz="4" w:space="0" w:color="auto"/>
              <w:bottom w:val="single" w:sz="4" w:space="0" w:color="auto"/>
              <w:right w:val="single" w:sz="4" w:space="0" w:color="auto"/>
            </w:tcBorders>
            <w:hideMark/>
          </w:tcPr>
          <w:p w14:paraId="0891BA2E" w14:textId="77777777" w:rsidR="003B41C3" w:rsidRPr="0038349F" w:rsidRDefault="003B41C3" w:rsidP="003B41C3">
            <w:pPr>
              <w:jc w:val="both"/>
              <w:rPr>
                <w:sz w:val="20"/>
                <w:szCs w:val="20"/>
              </w:rPr>
            </w:pPr>
            <w:r w:rsidRPr="0038349F">
              <w:rPr>
                <w:sz w:val="20"/>
                <w:szCs w:val="20"/>
                <w:lang w:val="es-MX"/>
              </w:rPr>
              <w:t>Ministerio de Transporte</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9A02B02" w14:textId="77777777" w:rsidR="003B41C3" w:rsidRPr="0038349F" w:rsidRDefault="003B41C3" w:rsidP="003B41C3">
            <w:pPr>
              <w:rPr>
                <w:sz w:val="20"/>
                <w:szCs w:val="20"/>
              </w:rPr>
            </w:pPr>
            <w:r w:rsidRPr="0038349F">
              <w:rPr>
                <w:sz w:val="20"/>
                <w:szCs w:val="20"/>
                <w:lang w:val="es-MX"/>
              </w:rPr>
              <w:t>$1.784.363.721.696</w:t>
            </w:r>
          </w:p>
        </w:tc>
      </w:tr>
      <w:tr w:rsidR="003B41C3" w14:paraId="760BAC63"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1A91A95C" w14:textId="77777777" w:rsidR="003B41C3" w:rsidRPr="0038349F" w:rsidRDefault="003B41C3" w:rsidP="003B41C3">
            <w:pPr>
              <w:rPr>
                <w:b/>
                <w:sz w:val="20"/>
                <w:szCs w:val="20"/>
              </w:rPr>
            </w:pPr>
            <w:r w:rsidRPr="0038349F">
              <w:rPr>
                <w:b/>
                <w:sz w:val="20"/>
                <w:szCs w:val="20"/>
              </w:rPr>
              <w:t>14</w:t>
            </w:r>
          </w:p>
        </w:tc>
        <w:tc>
          <w:tcPr>
            <w:tcW w:w="1700" w:type="dxa"/>
            <w:tcBorders>
              <w:top w:val="single" w:sz="4" w:space="0" w:color="auto"/>
              <w:left w:val="single" w:sz="4" w:space="0" w:color="auto"/>
              <w:bottom w:val="single" w:sz="4" w:space="0" w:color="auto"/>
              <w:right w:val="single" w:sz="4" w:space="0" w:color="auto"/>
            </w:tcBorders>
          </w:tcPr>
          <w:p w14:paraId="611B00C4" w14:textId="77777777" w:rsidR="003B41C3" w:rsidRPr="0038349F" w:rsidRDefault="003B41C3" w:rsidP="003B41C3">
            <w:pPr>
              <w:tabs>
                <w:tab w:val="left" w:pos="4536"/>
              </w:tabs>
              <w:spacing w:line="0" w:lineRule="atLeast"/>
              <w:rPr>
                <w:sz w:val="20"/>
                <w:szCs w:val="20"/>
                <w:lang w:val="es-MX"/>
              </w:rPr>
            </w:pPr>
            <w:r w:rsidRPr="0038349F">
              <w:rPr>
                <w:sz w:val="20"/>
                <w:szCs w:val="20"/>
                <w:lang w:val="es-MX"/>
              </w:rPr>
              <w:t>Acción de Grupo</w:t>
            </w:r>
          </w:p>
          <w:p w14:paraId="63F950F1" w14:textId="77777777" w:rsidR="003B41C3" w:rsidRPr="0038349F" w:rsidRDefault="003B41C3" w:rsidP="003B41C3">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EA32369" w14:textId="77777777" w:rsidR="003B41C3" w:rsidRPr="0038349F" w:rsidRDefault="003B41C3" w:rsidP="003B41C3">
            <w:pPr>
              <w:jc w:val="both"/>
              <w:rPr>
                <w:sz w:val="20"/>
                <w:szCs w:val="20"/>
              </w:rPr>
            </w:pPr>
            <w:r w:rsidRPr="0038349F">
              <w:rPr>
                <w:sz w:val="20"/>
                <w:szCs w:val="20"/>
                <w:lang w:val="es-MX"/>
              </w:rPr>
              <w:t xml:space="preserve">Claudia </w:t>
            </w:r>
            <w:proofErr w:type="spellStart"/>
            <w:r w:rsidRPr="0038349F">
              <w:rPr>
                <w:sz w:val="20"/>
                <w:szCs w:val="20"/>
                <w:lang w:val="es-MX"/>
              </w:rPr>
              <w:t>Esneda</w:t>
            </w:r>
            <w:proofErr w:type="spellEnd"/>
            <w:r w:rsidRPr="0038349F">
              <w:rPr>
                <w:sz w:val="20"/>
                <w:szCs w:val="20"/>
                <w:lang w:val="es-MX"/>
              </w:rPr>
              <w:t xml:space="preserve"> León Ortega </w:t>
            </w:r>
          </w:p>
        </w:tc>
        <w:tc>
          <w:tcPr>
            <w:tcW w:w="2100" w:type="dxa"/>
            <w:tcBorders>
              <w:top w:val="single" w:sz="4" w:space="0" w:color="auto"/>
              <w:left w:val="single" w:sz="4" w:space="0" w:color="auto"/>
              <w:bottom w:val="single" w:sz="4" w:space="0" w:color="auto"/>
              <w:right w:val="single" w:sz="4" w:space="0" w:color="auto"/>
            </w:tcBorders>
            <w:hideMark/>
          </w:tcPr>
          <w:p w14:paraId="039268A3" w14:textId="77777777" w:rsidR="003B41C3" w:rsidRPr="0038349F" w:rsidRDefault="003B41C3" w:rsidP="003B41C3">
            <w:pPr>
              <w:jc w:val="both"/>
              <w:rPr>
                <w:sz w:val="20"/>
                <w:szCs w:val="20"/>
              </w:rPr>
            </w:pPr>
            <w:proofErr w:type="spellStart"/>
            <w:r w:rsidRPr="0038349F">
              <w:rPr>
                <w:sz w:val="20"/>
                <w:szCs w:val="20"/>
                <w:lang w:val="es-MX"/>
              </w:rPr>
              <w:t>Mintic</w:t>
            </w:r>
            <w:proofErr w:type="spellEnd"/>
            <w:r w:rsidRPr="0038349F">
              <w:rPr>
                <w:sz w:val="20"/>
                <w:szCs w:val="20"/>
                <w:lang w:val="es-MX"/>
              </w:rPr>
              <w:t>. Y Otro</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C4E180" w14:textId="77777777" w:rsidR="003B41C3" w:rsidRPr="0038349F" w:rsidRDefault="003B41C3" w:rsidP="003B41C3">
            <w:pPr>
              <w:rPr>
                <w:sz w:val="20"/>
                <w:szCs w:val="20"/>
              </w:rPr>
            </w:pPr>
            <w:r w:rsidRPr="0038349F">
              <w:rPr>
                <w:sz w:val="20"/>
                <w:szCs w:val="20"/>
                <w:lang w:val="es-MX"/>
              </w:rPr>
              <w:t>$1.475.330.523.813</w:t>
            </w:r>
          </w:p>
        </w:tc>
      </w:tr>
      <w:tr w:rsidR="003B41C3" w14:paraId="6A4F8A0E"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8E13758" w14:textId="77777777" w:rsidR="003B41C3" w:rsidRPr="0038349F" w:rsidRDefault="003B41C3" w:rsidP="003B41C3">
            <w:pPr>
              <w:rPr>
                <w:b/>
                <w:sz w:val="20"/>
                <w:szCs w:val="20"/>
              </w:rPr>
            </w:pPr>
            <w:r w:rsidRPr="0038349F">
              <w:rPr>
                <w:b/>
                <w:sz w:val="20"/>
                <w:szCs w:val="20"/>
              </w:rPr>
              <w:t>15</w:t>
            </w:r>
          </w:p>
        </w:tc>
        <w:tc>
          <w:tcPr>
            <w:tcW w:w="1700" w:type="dxa"/>
            <w:tcBorders>
              <w:top w:val="single" w:sz="4" w:space="0" w:color="auto"/>
              <w:left w:val="single" w:sz="4" w:space="0" w:color="auto"/>
              <w:bottom w:val="single" w:sz="4" w:space="0" w:color="auto"/>
              <w:right w:val="single" w:sz="4" w:space="0" w:color="auto"/>
            </w:tcBorders>
            <w:hideMark/>
          </w:tcPr>
          <w:p w14:paraId="3314FBAB" w14:textId="77777777" w:rsidR="003B41C3" w:rsidRPr="0038349F" w:rsidRDefault="003B41C3" w:rsidP="003B41C3">
            <w:pPr>
              <w:spacing w:line="0" w:lineRule="atLeast"/>
              <w:rPr>
                <w:sz w:val="20"/>
                <w:szCs w:val="20"/>
              </w:rPr>
            </w:pPr>
            <w:r w:rsidRPr="0038349F">
              <w:rPr>
                <w:sz w:val="20"/>
                <w:szCs w:val="20"/>
              </w:rPr>
              <w:t xml:space="preserve">Acción de Grupo </w:t>
            </w:r>
          </w:p>
        </w:tc>
        <w:tc>
          <w:tcPr>
            <w:tcW w:w="2268" w:type="dxa"/>
            <w:tcBorders>
              <w:top w:val="single" w:sz="4" w:space="0" w:color="auto"/>
              <w:left w:val="single" w:sz="4" w:space="0" w:color="auto"/>
              <w:bottom w:val="single" w:sz="4" w:space="0" w:color="auto"/>
              <w:right w:val="single" w:sz="4" w:space="0" w:color="auto"/>
            </w:tcBorders>
            <w:hideMark/>
          </w:tcPr>
          <w:p w14:paraId="47079AA6" w14:textId="77777777" w:rsidR="003B41C3" w:rsidRPr="0038349F" w:rsidRDefault="003B41C3" w:rsidP="003B41C3">
            <w:pPr>
              <w:jc w:val="both"/>
              <w:rPr>
                <w:sz w:val="20"/>
                <w:szCs w:val="20"/>
              </w:rPr>
            </w:pPr>
            <w:proofErr w:type="spellStart"/>
            <w:r w:rsidRPr="0038349F">
              <w:rPr>
                <w:sz w:val="20"/>
                <w:szCs w:val="20"/>
              </w:rPr>
              <w:t>Aydé</w:t>
            </w:r>
            <w:proofErr w:type="spellEnd"/>
            <w:r w:rsidRPr="0038349F">
              <w:rPr>
                <w:sz w:val="20"/>
                <w:szCs w:val="20"/>
              </w:rPr>
              <w:t xml:space="preserve"> Villarreal Meneses y Otros</w:t>
            </w:r>
          </w:p>
        </w:tc>
        <w:tc>
          <w:tcPr>
            <w:tcW w:w="2100" w:type="dxa"/>
            <w:tcBorders>
              <w:top w:val="single" w:sz="4" w:space="0" w:color="auto"/>
              <w:left w:val="single" w:sz="4" w:space="0" w:color="auto"/>
              <w:bottom w:val="single" w:sz="4" w:space="0" w:color="auto"/>
              <w:right w:val="single" w:sz="4" w:space="0" w:color="auto"/>
            </w:tcBorders>
            <w:hideMark/>
          </w:tcPr>
          <w:p w14:paraId="09C4AFBE" w14:textId="77777777" w:rsidR="003B41C3" w:rsidRPr="0038349F" w:rsidRDefault="003B41C3" w:rsidP="003B41C3">
            <w:pPr>
              <w:spacing w:line="0" w:lineRule="atLeast"/>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96D2E8" w14:textId="77777777" w:rsidR="003B41C3" w:rsidRPr="0038349F" w:rsidRDefault="003B41C3" w:rsidP="003B41C3">
            <w:pPr>
              <w:spacing w:line="0" w:lineRule="atLeast"/>
              <w:rPr>
                <w:sz w:val="20"/>
                <w:szCs w:val="20"/>
              </w:rPr>
            </w:pPr>
            <w:r w:rsidRPr="0038349F">
              <w:rPr>
                <w:sz w:val="20"/>
                <w:szCs w:val="20"/>
              </w:rPr>
              <w:t>$1.315.442.400.000</w:t>
            </w:r>
          </w:p>
          <w:p w14:paraId="0A25E1AE" w14:textId="77777777" w:rsidR="003B41C3" w:rsidRPr="0038349F" w:rsidRDefault="003B41C3" w:rsidP="003B41C3">
            <w:pPr>
              <w:rPr>
                <w:sz w:val="20"/>
                <w:szCs w:val="20"/>
              </w:rPr>
            </w:pPr>
          </w:p>
        </w:tc>
      </w:tr>
      <w:tr w:rsidR="003B41C3" w14:paraId="103162EE"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08701D9F" w14:textId="77777777" w:rsidR="003B41C3" w:rsidRPr="0038349F" w:rsidRDefault="003B41C3" w:rsidP="003B41C3">
            <w:pPr>
              <w:rPr>
                <w:b/>
                <w:sz w:val="20"/>
                <w:szCs w:val="20"/>
              </w:rPr>
            </w:pPr>
            <w:r w:rsidRPr="0038349F">
              <w:rPr>
                <w:b/>
                <w:sz w:val="20"/>
                <w:szCs w:val="20"/>
              </w:rPr>
              <w:t>16</w:t>
            </w:r>
          </w:p>
        </w:tc>
        <w:tc>
          <w:tcPr>
            <w:tcW w:w="1700" w:type="dxa"/>
            <w:tcBorders>
              <w:top w:val="single" w:sz="4" w:space="0" w:color="auto"/>
              <w:left w:val="single" w:sz="4" w:space="0" w:color="auto"/>
              <w:bottom w:val="single" w:sz="4" w:space="0" w:color="auto"/>
              <w:right w:val="single" w:sz="4" w:space="0" w:color="auto"/>
            </w:tcBorders>
            <w:hideMark/>
          </w:tcPr>
          <w:p w14:paraId="502D0AC4" w14:textId="77777777" w:rsidR="003B41C3" w:rsidRPr="0038349F" w:rsidRDefault="003B41C3" w:rsidP="003B41C3">
            <w:pPr>
              <w:spacing w:line="0" w:lineRule="atLeast"/>
              <w:jc w:val="both"/>
              <w:rPr>
                <w:sz w:val="20"/>
                <w:szCs w:val="20"/>
              </w:rPr>
            </w:pPr>
            <w:r w:rsidRPr="0038349F">
              <w:rPr>
                <w:sz w:val="20"/>
                <w:szCs w:val="20"/>
              </w:rPr>
              <w:t>Acción Nulidad Restablecimiento del Derecho</w:t>
            </w:r>
          </w:p>
        </w:tc>
        <w:tc>
          <w:tcPr>
            <w:tcW w:w="2268" w:type="dxa"/>
            <w:tcBorders>
              <w:top w:val="single" w:sz="4" w:space="0" w:color="auto"/>
              <w:left w:val="single" w:sz="4" w:space="0" w:color="auto"/>
              <w:bottom w:val="single" w:sz="4" w:space="0" w:color="auto"/>
              <w:right w:val="single" w:sz="4" w:space="0" w:color="auto"/>
            </w:tcBorders>
            <w:hideMark/>
          </w:tcPr>
          <w:p w14:paraId="6B02EF45" w14:textId="77777777" w:rsidR="003B41C3" w:rsidRPr="0038349F" w:rsidRDefault="003B41C3" w:rsidP="003B41C3">
            <w:pPr>
              <w:jc w:val="both"/>
              <w:rPr>
                <w:sz w:val="20"/>
                <w:szCs w:val="20"/>
              </w:rPr>
            </w:pPr>
            <w:r w:rsidRPr="0038349F">
              <w:rPr>
                <w:sz w:val="20"/>
                <w:szCs w:val="20"/>
              </w:rPr>
              <w:t>Coloca International</w:t>
            </w:r>
          </w:p>
        </w:tc>
        <w:tc>
          <w:tcPr>
            <w:tcW w:w="2100" w:type="dxa"/>
            <w:tcBorders>
              <w:top w:val="single" w:sz="4" w:space="0" w:color="auto"/>
              <w:left w:val="single" w:sz="4" w:space="0" w:color="auto"/>
              <w:bottom w:val="single" w:sz="4" w:space="0" w:color="auto"/>
              <w:right w:val="single" w:sz="4" w:space="0" w:color="auto"/>
            </w:tcBorders>
          </w:tcPr>
          <w:p w14:paraId="6AA223BF" w14:textId="77777777" w:rsidR="003B41C3" w:rsidRPr="0038349F" w:rsidRDefault="00C15372" w:rsidP="003B41C3">
            <w:pPr>
              <w:spacing w:line="0" w:lineRule="atLeast"/>
              <w:jc w:val="both"/>
              <w:rPr>
                <w:sz w:val="20"/>
                <w:szCs w:val="20"/>
              </w:rPr>
            </w:pPr>
            <w:r>
              <w:rPr>
                <w:sz w:val="20"/>
                <w:szCs w:val="20"/>
              </w:rPr>
              <w:t>Ministerio de Hacienda y Crédito Público</w:t>
            </w:r>
            <w:r w:rsidR="003B41C3" w:rsidRPr="0038349F">
              <w:rPr>
                <w:sz w:val="20"/>
                <w:szCs w:val="20"/>
              </w:rPr>
              <w:t xml:space="preserve"> y Otros</w:t>
            </w:r>
          </w:p>
          <w:p w14:paraId="694255FD" w14:textId="77777777" w:rsidR="003B41C3" w:rsidRPr="0038349F" w:rsidRDefault="003B41C3" w:rsidP="003B41C3">
            <w:pPr>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E9B190" w14:textId="77777777" w:rsidR="003B41C3" w:rsidRPr="0038349F" w:rsidRDefault="003B41C3" w:rsidP="003B41C3">
            <w:pPr>
              <w:spacing w:line="0" w:lineRule="atLeast"/>
              <w:rPr>
                <w:sz w:val="20"/>
                <w:szCs w:val="20"/>
              </w:rPr>
            </w:pPr>
            <w:r w:rsidRPr="0038349F">
              <w:rPr>
                <w:sz w:val="20"/>
                <w:szCs w:val="20"/>
              </w:rPr>
              <w:t>$1.184.492.952.000</w:t>
            </w:r>
          </w:p>
          <w:p w14:paraId="104DB54F" w14:textId="77777777" w:rsidR="003B41C3" w:rsidRPr="0038349F" w:rsidRDefault="003B41C3" w:rsidP="003B41C3">
            <w:pPr>
              <w:rPr>
                <w:sz w:val="20"/>
                <w:szCs w:val="20"/>
              </w:rPr>
            </w:pPr>
          </w:p>
        </w:tc>
      </w:tr>
      <w:tr w:rsidR="003B41C3" w14:paraId="2563ABED"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51AD0606" w14:textId="77777777" w:rsidR="003B41C3" w:rsidRPr="0038349F" w:rsidRDefault="003B41C3" w:rsidP="003B41C3">
            <w:pPr>
              <w:rPr>
                <w:b/>
                <w:sz w:val="20"/>
                <w:szCs w:val="20"/>
              </w:rPr>
            </w:pPr>
            <w:r w:rsidRPr="0038349F">
              <w:rPr>
                <w:b/>
                <w:sz w:val="20"/>
                <w:szCs w:val="20"/>
              </w:rPr>
              <w:t>17</w:t>
            </w:r>
          </w:p>
        </w:tc>
        <w:tc>
          <w:tcPr>
            <w:tcW w:w="1700" w:type="dxa"/>
            <w:tcBorders>
              <w:top w:val="single" w:sz="4" w:space="0" w:color="auto"/>
              <w:left w:val="single" w:sz="4" w:space="0" w:color="auto"/>
              <w:bottom w:val="single" w:sz="4" w:space="0" w:color="auto"/>
              <w:right w:val="single" w:sz="4" w:space="0" w:color="auto"/>
            </w:tcBorders>
            <w:hideMark/>
          </w:tcPr>
          <w:p w14:paraId="75CCEB8B" w14:textId="77777777" w:rsidR="003B41C3" w:rsidRPr="0038349F" w:rsidRDefault="003B41C3" w:rsidP="003B41C3">
            <w:pPr>
              <w:spacing w:line="0" w:lineRule="atLeast"/>
              <w:jc w:val="both"/>
              <w:rPr>
                <w:sz w:val="20"/>
                <w:szCs w:val="20"/>
              </w:rPr>
            </w:pPr>
            <w:r w:rsidRPr="0038349F">
              <w:rPr>
                <w:sz w:val="20"/>
                <w:szCs w:val="20"/>
              </w:rPr>
              <w:t>Acción Reparación Directa</w:t>
            </w:r>
          </w:p>
        </w:tc>
        <w:tc>
          <w:tcPr>
            <w:tcW w:w="2268" w:type="dxa"/>
            <w:tcBorders>
              <w:top w:val="single" w:sz="4" w:space="0" w:color="auto"/>
              <w:left w:val="single" w:sz="4" w:space="0" w:color="auto"/>
              <w:bottom w:val="single" w:sz="4" w:space="0" w:color="auto"/>
              <w:right w:val="single" w:sz="4" w:space="0" w:color="auto"/>
            </w:tcBorders>
            <w:hideMark/>
          </w:tcPr>
          <w:p w14:paraId="51752BC1" w14:textId="77777777" w:rsidR="003B41C3" w:rsidRPr="0038349F" w:rsidRDefault="003B41C3" w:rsidP="003B41C3">
            <w:pPr>
              <w:jc w:val="both"/>
              <w:rPr>
                <w:sz w:val="20"/>
                <w:szCs w:val="20"/>
              </w:rPr>
            </w:pPr>
            <w:r w:rsidRPr="0038349F">
              <w:rPr>
                <w:sz w:val="20"/>
                <w:szCs w:val="20"/>
              </w:rPr>
              <w:t xml:space="preserve">Intercontinental de Aviación S.A. </w:t>
            </w:r>
          </w:p>
        </w:tc>
        <w:tc>
          <w:tcPr>
            <w:tcW w:w="2100" w:type="dxa"/>
            <w:tcBorders>
              <w:top w:val="single" w:sz="4" w:space="0" w:color="auto"/>
              <w:left w:val="single" w:sz="4" w:space="0" w:color="auto"/>
              <w:bottom w:val="single" w:sz="4" w:space="0" w:color="auto"/>
              <w:right w:val="single" w:sz="4" w:space="0" w:color="auto"/>
            </w:tcBorders>
            <w:hideMark/>
          </w:tcPr>
          <w:p w14:paraId="171C797C" w14:textId="77777777" w:rsidR="003B41C3" w:rsidRPr="0038349F" w:rsidRDefault="003B41C3" w:rsidP="003B41C3">
            <w:pPr>
              <w:jc w:val="both"/>
              <w:rPr>
                <w:sz w:val="20"/>
                <w:szCs w:val="20"/>
              </w:rPr>
            </w:pPr>
            <w:proofErr w:type="spellStart"/>
            <w:r w:rsidRPr="0038349F">
              <w:rPr>
                <w:sz w:val="20"/>
                <w:szCs w:val="20"/>
              </w:rPr>
              <w:t>Aerocivil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6D52E1" w14:textId="77777777" w:rsidR="003B41C3" w:rsidRPr="0038349F" w:rsidRDefault="003B41C3" w:rsidP="003B41C3">
            <w:pPr>
              <w:spacing w:line="0" w:lineRule="atLeast"/>
              <w:rPr>
                <w:sz w:val="20"/>
                <w:szCs w:val="20"/>
              </w:rPr>
            </w:pPr>
            <w:r w:rsidRPr="0038349F">
              <w:rPr>
                <w:sz w:val="20"/>
                <w:szCs w:val="20"/>
              </w:rPr>
              <w:t>$1.102.764.291.684</w:t>
            </w:r>
          </w:p>
          <w:p w14:paraId="0F114A7F" w14:textId="77777777" w:rsidR="003B41C3" w:rsidRPr="0038349F" w:rsidRDefault="003B41C3" w:rsidP="003B41C3">
            <w:pPr>
              <w:rPr>
                <w:sz w:val="20"/>
                <w:szCs w:val="20"/>
              </w:rPr>
            </w:pPr>
          </w:p>
        </w:tc>
      </w:tr>
      <w:tr w:rsidR="003B41C3" w14:paraId="7A91CF8B"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7BC76901" w14:textId="77777777" w:rsidR="003B41C3" w:rsidRPr="0038349F" w:rsidRDefault="003B41C3" w:rsidP="003B41C3">
            <w:pPr>
              <w:rPr>
                <w:b/>
                <w:sz w:val="20"/>
                <w:szCs w:val="20"/>
              </w:rPr>
            </w:pPr>
            <w:r w:rsidRPr="0038349F">
              <w:rPr>
                <w:b/>
                <w:sz w:val="20"/>
                <w:szCs w:val="20"/>
              </w:rPr>
              <w:t>18</w:t>
            </w:r>
          </w:p>
        </w:tc>
        <w:tc>
          <w:tcPr>
            <w:tcW w:w="1700" w:type="dxa"/>
            <w:tcBorders>
              <w:top w:val="single" w:sz="4" w:space="0" w:color="auto"/>
              <w:left w:val="single" w:sz="4" w:space="0" w:color="auto"/>
              <w:bottom w:val="single" w:sz="4" w:space="0" w:color="auto"/>
              <w:right w:val="single" w:sz="4" w:space="0" w:color="auto"/>
            </w:tcBorders>
          </w:tcPr>
          <w:p w14:paraId="2C143743" w14:textId="77777777" w:rsidR="003B41C3" w:rsidRPr="0038349F" w:rsidRDefault="003B41C3" w:rsidP="003B41C3">
            <w:pPr>
              <w:spacing w:line="0" w:lineRule="atLeast"/>
              <w:rPr>
                <w:sz w:val="20"/>
                <w:szCs w:val="20"/>
              </w:rPr>
            </w:pPr>
            <w:r w:rsidRPr="0038349F">
              <w:rPr>
                <w:sz w:val="20"/>
                <w:szCs w:val="20"/>
              </w:rPr>
              <w:t>Acción de Grupo</w:t>
            </w:r>
          </w:p>
          <w:p w14:paraId="1E98CE66" w14:textId="77777777" w:rsidR="003B41C3" w:rsidRPr="0038349F" w:rsidRDefault="003B41C3" w:rsidP="003B41C3">
            <w:pPr>
              <w:spacing w:line="0" w:lineRule="atLeast"/>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732D65A" w14:textId="77777777" w:rsidR="003B41C3" w:rsidRPr="0038349F" w:rsidRDefault="003B41C3" w:rsidP="003B41C3">
            <w:pPr>
              <w:jc w:val="both"/>
              <w:rPr>
                <w:sz w:val="20"/>
                <w:szCs w:val="20"/>
              </w:rPr>
            </w:pPr>
            <w:r w:rsidRPr="0038349F">
              <w:rPr>
                <w:sz w:val="20"/>
                <w:szCs w:val="20"/>
              </w:rPr>
              <w:t>Abel Maria Álzate Llanos y Otros</w:t>
            </w:r>
          </w:p>
        </w:tc>
        <w:tc>
          <w:tcPr>
            <w:tcW w:w="2100" w:type="dxa"/>
            <w:tcBorders>
              <w:top w:val="single" w:sz="4" w:space="0" w:color="auto"/>
              <w:left w:val="single" w:sz="4" w:space="0" w:color="auto"/>
              <w:bottom w:val="single" w:sz="4" w:space="0" w:color="auto"/>
              <w:right w:val="single" w:sz="4" w:space="0" w:color="auto"/>
            </w:tcBorders>
            <w:hideMark/>
          </w:tcPr>
          <w:p w14:paraId="2456167C" w14:textId="77777777" w:rsidR="003B41C3" w:rsidRPr="0038349F" w:rsidRDefault="003B41C3" w:rsidP="003B41C3">
            <w:pPr>
              <w:spacing w:line="0" w:lineRule="atLeast"/>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95A15" w14:textId="77777777" w:rsidR="003B41C3" w:rsidRPr="0038349F" w:rsidRDefault="003B41C3" w:rsidP="003B41C3">
            <w:pPr>
              <w:spacing w:line="0" w:lineRule="atLeast"/>
              <w:rPr>
                <w:sz w:val="20"/>
                <w:szCs w:val="20"/>
              </w:rPr>
            </w:pPr>
            <w:r w:rsidRPr="0038349F">
              <w:rPr>
                <w:sz w:val="20"/>
                <w:szCs w:val="20"/>
              </w:rPr>
              <w:t>$1.096.202.000.000</w:t>
            </w:r>
          </w:p>
          <w:p w14:paraId="1CF1929A" w14:textId="77777777" w:rsidR="003B41C3" w:rsidRPr="0038349F" w:rsidRDefault="003B41C3" w:rsidP="003B41C3">
            <w:pPr>
              <w:rPr>
                <w:sz w:val="20"/>
                <w:szCs w:val="20"/>
              </w:rPr>
            </w:pPr>
          </w:p>
        </w:tc>
      </w:tr>
      <w:tr w:rsidR="003B41C3" w14:paraId="3DD05390"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46D41124" w14:textId="77777777" w:rsidR="003B41C3" w:rsidRPr="0038349F" w:rsidRDefault="003B41C3" w:rsidP="003B41C3">
            <w:pPr>
              <w:rPr>
                <w:b/>
                <w:sz w:val="20"/>
                <w:szCs w:val="20"/>
              </w:rPr>
            </w:pPr>
            <w:r w:rsidRPr="0038349F">
              <w:rPr>
                <w:b/>
                <w:sz w:val="20"/>
                <w:szCs w:val="20"/>
              </w:rPr>
              <w:t>19</w:t>
            </w:r>
          </w:p>
        </w:tc>
        <w:tc>
          <w:tcPr>
            <w:tcW w:w="1700" w:type="dxa"/>
            <w:tcBorders>
              <w:top w:val="single" w:sz="4" w:space="0" w:color="auto"/>
              <w:left w:val="single" w:sz="4" w:space="0" w:color="auto"/>
              <w:bottom w:val="single" w:sz="4" w:space="0" w:color="auto"/>
              <w:right w:val="single" w:sz="4" w:space="0" w:color="auto"/>
            </w:tcBorders>
          </w:tcPr>
          <w:p w14:paraId="50A25F7A" w14:textId="77777777" w:rsidR="003B41C3" w:rsidRPr="0038349F" w:rsidRDefault="003B41C3" w:rsidP="003B41C3">
            <w:pPr>
              <w:spacing w:line="0" w:lineRule="atLeast"/>
              <w:rPr>
                <w:sz w:val="20"/>
                <w:szCs w:val="20"/>
              </w:rPr>
            </w:pPr>
            <w:r w:rsidRPr="0038349F">
              <w:rPr>
                <w:sz w:val="20"/>
                <w:szCs w:val="20"/>
              </w:rPr>
              <w:t xml:space="preserve">Acción de Grupo </w:t>
            </w:r>
          </w:p>
          <w:p w14:paraId="0035BD84" w14:textId="77777777" w:rsidR="003B41C3" w:rsidRPr="0038349F" w:rsidRDefault="003B41C3" w:rsidP="003B41C3">
            <w:pPr>
              <w:spacing w:line="0" w:lineRule="atLeast"/>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8B41D8A" w14:textId="77777777" w:rsidR="003B41C3" w:rsidRPr="0038349F" w:rsidRDefault="003B41C3" w:rsidP="003B41C3">
            <w:pPr>
              <w:jc w:val="both"/>
              <w:rPr>
                <w:sz w:val="20"/>
                <w:szCs w:val="20"/>
              </w:rPr>
            </w:pPr>
            <w:r w:rsidRPr="0038349F">
              <w:rPr>
                <w:sz w:val="20"/>
                <w:szCs w:val="20"/>
              </w:rPr>
              <w:t>Andrés Felipe Acevedo Ruíz y Otros</w:t>
            </w:r>
          </w:p>
        </w:tc>
        <w:tc>
          <w:tcPr>
            <w:tcW w:w="2100" w:type="dxa"/>
            <w:tcBorders>
              <w:top w:val="single" w:sz="4" w:space="0" w:color="auto"/>
              <w:left w:val="single" w:sz="4" w:space="0" w:color="auto"/>
              <w:bottom w:val="single" w:sz="4" w:space="0" w:color="auto"/>
              <w:right w:val="single" w:sz="4" w:space="0" w:color="auto"/>
            </w:tcBorders>
            <w:hideMark/>
          </w:tcPr>
          <w:p w14:paraId="20DDED89" w14:textId="77777777" w:rsidR="003B41C3" w:rsidRPr="0038349F" w:rsidRDefault="003B41C3" w:rsidP="003B41C3">
            <w:pPr>
              <w:spacing w:line="0" w:lineRule="atLeast"/>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EE5DAF" w14:textId="77777777" w:rsidR="003B41C3" w:rsidRPr="0038349F" w:rsidRDefault="003B41C3" w:rsidP="003B41C3">
            <w:pPr>
              <w:spacing w:line="0" w:lineRule="atLeast"/>
              <w:rPr>
                <w:sz w:val="20"/>
                <w:szCs w:val="20"/>
              </w:rPr>
            </w:pPr>
            <w:r w:rsidRPr="0038349F">
              <w:rPr>
                <w:sz w:val="20"/>
                <w:szCs w:val="20"/>
              </w:rPr>
              <w:t>$1.096.202.000.000</w:t>
            </w:r>
          </w:p>
          <w:p w14:paraId="5F8CF643" w14:textId="77777777" w:rsidR="003B41C3" w:rsidRPr="0038349F" w:rsidRDefault="003B41C3" w:rsidP="003B41C3">
            <w:pPr>
              <w:rPr>
                <w:sz w:val="20"/>
                <w:szCs w:val="20"/>
              </w:rPr>
            </w:pPr>
          </w:p>
        </w:tc>
      </w:tr>
      <w:tr w:rsidR="003B41C3" w14:paraId="766FB75B"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7C229260" w14:textId="77777777" w:rsidR="003B41C3" w:rsidRPr="0038349F" w:rsidRDefault="003B41C3" w:rsidP="003B41C3">
            <w:pPr>
              <w:rPr>
                <w:b/>
                <w:sz w:val="20"/>
                <w:szCs w:val="20"/>
              </w:rPr>
            </w:pPr>
            <w:r w:rsidRPr="0038349F">
              <w:rPr>
                <w:b/>
                <w:sz w:val="20"/>
                <w:szCs w:val="20"/>
              </w:rPr>
              <w:t>20</w:t>
            </w:r>
          </w:p>
        </w:tc>
        <w:tc>
          <w:tcPr>
            <w:tcW w:w="1700" w:type="dxa"/>
            <w:tcBorders>
              <w:top w:val="single" w:sz="4" w:space="0" w:color="auto"/>
              <w:left w:val="single" w:sz="4" w:space="0" w:color="auto"/>
              <w:bottom w:val="single" w:sz="4" w:space="0" w:color="auto"/>
              <w:right w:val="single" w:sz="4" w:space="0" w:color="auto"/>
            </w:tcBorders>
          </w:tcPr>
          <w:p w14:paraId="55566FA0" w14:textId="77777777" w:rsidR="003B41C3" w:rsidRPr="0038349F" w:rsidRDefault="003B41C3" w:rsidP="003B41C3">
            <w:pPr>
              <w:spacing w:line="0" w:lineRule="atLeast"/>
              <w:rPr>
                <w:sz w:val="20"/>
                <w:szCs w:val="20"/>
              </w:rPr>
            </w:pPr>
            <w:r w:rsidRPr="0038349F">
              <w:rPr>
                <w:sz w:val="20"/>
                <w:szCs w:val="20"/>
              </w:rPr>
              <w:t xml:space="preserve">Acción de Grupo </w:t>
            </w:r>
          </w:p>
          <w:p w14:paraId="7005259D" w14:textId="77777777" w:rsidR="003B41C3" w:rsidRPr="0038349F" w:rsidRDefault="003B41C3" w:rsidP="003B41C3">
            <w:pPr>
              <w:spacing w:line="0" w:lineRule="atLeast"/>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080E5BC" w14:textId="77777777" w:rsidR="003B41C3" w:rsidRPr="0038349F" w:rsidRDefault="003B41C3" w:rsidP="003B41C3">
            <w:pPr>
              <w:jc w:val="both"/>
              <w:rPr>
                <w:sz w:val="20"/>
                <w:szCs w:val="20"/>
              </w:rPr>
            </w:pPr>
            <w:r w:rsidRPr="0038349F">
              <w:rPr>
                <w:sz w:val="20"/>
                <w:szCs w:val="20"/>
              </w:rPr>
              <w:t>Miguel Ángel Ramos Silva y Otros</w:t>
            </w:r>
          </w:p>
        </w:tc>
        <w:tc>
          <w:tcPr>
            <w:tcW w:w="2100" w:type="dxa"/>
            <w:tcBorders>
              <w:top w:val="single" w:sz="4" w:space="0" w:color="auto"/>
              <w:left w:val="single" w:sz="4" w:space="0" w:color="auto"/>
              <w:bottom w:val="single" w:sz="4" w:space="0" w:color="auto"/>
              <w:right w:val="single" w:sz="4" w:space="0" w:color="auto"/>
            </w:tcBorders>
            <w:hideMark/>
          </w:tcPr>
          <w:p w14:paraId="3BFA0DC7" w14:textId="77777777" w:rsidR="003B41C3" w:rsidRPr="0038349F" w:rsidRDefault="003B41C3" w:rsidP="003B41C3">
            <w:pPr>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EF52C7" w14:textId="77777777" w:rsidR="003B41C3" w:rsidRPr="0038349F" w:rsidRDefault="003B41C3" w:rsidP="003B41C3">
            <w:pPr>
              <w:spacing w:line="0" w:lineRule="atLeast"/>
              <w:rPr>
                <w:sz w:val="20"/>
                <w:szCs w:val="20"/>
              </w:rPr>
            </w:pPr>
            <w:r w:rsidRPr="0038349F">
              <w:rPr>
                <w:sz w:val="20"/>
                <w:szCs w:val="20"/>
              </w:rPr>
              <w:t>$1.096.202.000.000</w:t>
            </w:r>
          </w:p>
          <w:p w14:paraId="32475AB6" w14:textId="77777777" w:rsidR="003B41C3" w:rsidRPr="0038349F" w:rsidRDefault="003B41C3" w:rsidP="003B41C3">
            <w:pPr>
              <w:rPr>
                <w:sz w:val="20"/>
                <w:szCs w:val="20"/>
              </w:rPr>
            </w:pPr>
          </w:p>
        </w:tc>
      </w:tr>
      <w:tr w:rsidR="003B41C3" w14:paraId="1DD4BCFB"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6DA1A97" w14:textId="77777777" w:rsidR="003B41C3" w:rsidRPr="0038349F" w:rsidRDefault="003B41C3" w:rsidP="003B41C3">
            <w:pPr>
              <w:rPr>
                <w:b/>
                <w:sz w:val="20"/>
                <w:szCs w:val="20"/>
              </w:rPr>
            </w:pPr>
            <w:r w:rsidRPr="0038349F">
              <w:rPr>
                <w:b/>
                <w:sz w:val="20"/>
                <w:szCs w:val="20"/>
              </w:rPr>
              <w:t>21</w:t>
            </w:r>
          </w:p>
        </w:tc>
        <w:tc>
          <w:tcPr>
            <w:tcW w:w="1700" w:type="dxa"/>
            <w:tcBorders>
              <w:top w:val="single" w:sz="4" w:space="0" w:color="auto"/>
              <w:left w:val="single" w:sz="4" w:space="0" w:color="auto"/>
              <w:bottom w:val="single" w:sz="4" w:space="0" w:color="auto"/>
              <w:right w:val="single" w:sz="4" w:space="0" w:color="auto"/>
            </w:tcBorders>
          </w:tcPr>
          <w:p w14:paraId="683AE87F" w14:textId="77777777" w:rsidR="003B41C3" w:rsidRPr="0038349F" w:rsidRDefault="003B41C3" w:rsidP="003B41C3">
            <w:pPr>
              <w:spacing w:line="0" w:lineRule="atLeast"/>
              <w:rPr>
                <w:sz w:val="20"/>
                <w:szCs w:val="20"/>
              </w:rPr>
            </w:pPr>
            <w:r w:rsidRPr="0038349F">
              <w:rPr>
                <w:sz w:val="20"/>
                <w:szCs w:val="20"/>
              </w:rPr>
              <w:t xml:space="preserve">Acción de Grupo </w:t>
            </w:r>
          </w:p>
          <w:p w14:paraId="36F64194" w14:textId="77777777" w:rsidR="003B41C3" w:rsidRPr="0038349F" w:rsidRDefault="003B41C3" w:rsidP="003B41C3">
            <w:pPr>
              <w:spacing w:line="0" w:lineRule="atLeast"/>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03EA4C2" w14:textId="77777777" w:rsidR="003B41C3" w:rsidRPr="0038349F" w:rsidRDefault="003B41C3" w:rsidP="003B41C3">
            <w:pPr>
              <w:jc w:val="both"/>
              <w:rPr>
                <w:sz w:val="20"/>
                <w:szCs w:val="20"/>
              </w:rPr>
            </w:pPr>
            <w:r w:rsidRPr="0038349F">
              <w:rPr>
                <w:sz w:val="20"/>
                <w:szCs w:val="20"/>
              </w:rPr>
              <w:t xml:space="preserve">Oscar Cajas </w:t>
            </w:r>
            <w:proofErr w:type="spellStart"/>
            <w:r w:rsidRPr="0038349F">
              <w:rPr>
                <w:sz w:val="20"/>
                <w:szCs w:val="20"/>
              </w:rPr>
              <w:t>Cajas</w:t>
            </w:r>
            <w:proofErr w:type="spellEnd"/>
            <w:r w:rsidRPr="0038349F">
              <w:rPr>
                <w:sz w:val="20"/>
                <w:szCs w:val="20"/>
              </w:rPr>
              <w:t xml:space="preserve"> y Otros</w:t>
            </w:r>
          </w:p>
        </w:tc>
        <w:tc>
          <w:tcPr>
            <w:tcW w:w="2100" w:type="dxa"/>
            <w:tcBorders>
              <w:top w:val="single" w:sz="4" w:space="0" w:color="auto"/>
              <w:left w:val="single" w:sz="4" w:space="0" w:color="auto"/>
              <w:bottom w:val="single" w:sz="4" w:space="0" w:color="auto"/>
              <w:right w:val="single" w:sz="4" w:space="0" w:color="auto"/>
            </w:tcBorders>
            <w:hideMark/>
          </w:tcPr>
          <w:p w14:paraId="1E435FB9" w14:textId="77777777" w:rsidR="003B41C3" w:rsidRPr="0038349F" w:rsidRDefault="003B41C3" w:rsidP="003B41C3">
            <w:pPr>
              <w:spacing w:line="0" w:lineRule="atLeast"/>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BC0D5B" w14:textId="77777777" w:rsidR="003B41C3" w:rsidRPr="0038349F" w:rsidRDefault="003B41C3" w:rsidP="003B41C3">
            <w:pPr>
              <w:spacing w:line="0" w:lineRule="atLeast"/>
              <w:rPr>
                <w:sz w:val="20"/>
                <w:szCs w:val="20"/>
              </w:rPr>
            </w:pPr>
            <w:r w:rsidRPr="0038349F">
              <w:rPr>
                <w:sz w:val="20"/>
                <w:szCs w:val="20"/>
              </w:rPr>
              <w:t>$1.096.202.000.000</w:t>
            </w:r>
          </w:p>
          <w:p w14:paraId="5E592B08" w14:textId="77777777" w:rsidR="003B41C3" w:rsidRPr="0038349F" w:rsidRDefault="003B41C3" w:rsidP="003B41C3">
            <w:pPr>
              <w:rPr>
                <w:sz w:val="20"/>
                <w:szCs w:val="20"/>
              </w:rPr>
            </w:pPr>
          </w:p>
        </w:tc>
      </w:tr>
      <w:tr w:rsidR="003B41C3" w14:paraId="5B9444EA"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0562B251" w14:textId="77777777" w:rsidR="003B41C3" w:rsidRPr="0038349F" w:rsidRDefault="003B41C3" w:rsidP="003B41C3">
            <w:pPr>
              <w:rPr>
                <w:b/>
                <w:sz w:val="20"/>
                <w:szCs w:val="20"/>
              </w:rPr>
            </w:pPr>
            <w:r w:rsidRPr="0038349F">
              <w:rPr>
                <w:b/>
                <w:sz w:val="20"/>
                <w:szCs w:val="20"/>
              </w:rPr>
              <w:t>22</w:t>
            </w:r>
          </w:p>
        </w:tc>
        <w:tc>
          <w:tcPr>
            <w:tcW w:w="1700" w:type="dxa"/>
            <w:tcBorders>
              <w:top w:val="single" w:sz="4" w:space="0" w:color="auto"/>
              <w:left w:val="single" w:sz="4" w:space="0" w:color="auto"/>
              <w:bottom w:val="single" w:sz="4" w:space="0" w:color="auto"/>
              <w:right w:val="single" w:sz="4" w:space="0" w:color="auto"/>
            </w:tcBorders>
          </w:tcPr>
          <w:p w14:paraId="365F8BB1" w14:textId="77777777" w:rsidR="003B41C3" w:rsidRPr="0038349F" w:rsidRDefault="003B41C3" w:rsidP="003B41C3">
            <w:pPr>
              <w:spacing w:line="0" w:lineRule="atLeast"/>
              <w:rPr>
                <w:sz w:val="20"/>
                <w:szCs w:val="20"/>
              </w:rPr>
            </w:pPr>
            <w:r w:rsidRPr="0038349F">
              <w:rPr>
                <w:sz w:val="20"/>
                <w:szCs w:val="20"/>
              </w:rPr>
              <w:t xml:space="preserve">Acción de Grupo </w:t>
            </w:r>
          </w:p>
          <w:p w14:paraId="0A7EDCF8" w14:textId="77777777" w:rsidR="003B41C3" w:rsidRPr="0038349F" w:rsidRDefault="003B41C3" w:rsidP="003B41C3">
            <w:pPr>
              <w:spacing w:line="0" w:lineRule="atLeast"/>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FEFDD80" w14:textId="77777777" w:rsidR="003B41C3" w:rsidRPr="0038349F" w:rsidRDefault="003B41C3" w:rsidP="003B41C3">
            <w:pPr>
              <w:jc w:val="both"/>
              <w:rPr>
                <w:sz w:val="20"/>
                <w:szCs w:val="20"/>
              </w:rPr>
            </w:pPr>
            <w:r w:rsidRPr="0038349F">
              <w:rPr>
                <w:sz w:val="20"/>
                <w:szCs w:val="20"/>
              </w:rPr>
              <w:t>Nidia Yolanda Acosta de Salazar y Otros</w:t>
            </w:r>
          </w:p>
        </w:tc>
        <w:tc>
          <w:tcPr>
            <w:tcW w:w="2100" w:type="dxa"/>
            <w:tcBorders>
              <w:top w:val="single" w:sz="4" w:space="0" w:color="auto"/>
              <w:left w:val="single" w:sz="4" w:space="0" w:color="auto"/>
              <w:bottom w:val="single" w:sz="4" w:space="0" w:color="auto"/>
              <w:right w:val="single" w:sz="4" w:space="0" w:color="auto"/>
            </w:tcBorders>
            <w:hideMark/>
          </w:tcPr>
          <w:p w14:paraId="7011554F" w14:textId="77777777" w:rsidR="003B41C3" w:rsidRPr="0038349F" w:rsidRDefault="003B41C3" w:rsidP="003B41C3">
            <w:pPr>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02A16C" w14:textId="77777777" w:rsidR="003B41C3" w:rsidRPr="0038349F" w:rsidRDefault="003B41C3" w:rsidP="003B41C3">
            <w:pPr>
              <w:spacing w:line="0" w:lineRule="atLeast"/>
              <w:rPr>
                <w:sz w:val="20"/>
                <w:szCs w:val="20"/>
              </w:rPr>
            </w:pPr>
            <w:r w:rsidRPr="0038349F">
              <w:rPr>
                <w:sz w:val="20"/>
                <w:szCs w:val="20"/>
              </w:rPr>
              <w:t>$1.096.202.000.000</w:t>
            </w:r>
          </w:p>
          <w:p w14:paraId="53F79176" w14:textId="77777777" w:rsidR="003B41C3" w:rsidRPr="0038349F" w:rsidRDefault="003B41C3" w:rsidP="003B41C3">
            <w:pPr>
              <w:rPr>
                <w:sz w:val="20"/>
                <w:szCs w:val="20"/>
              </w:rPr>
            </w:pPr>
          </w:p>
        </w:tc>
      </w:tr>
      <w:tr w:rsidR="003B41C3" w14:paraId="7C287C36"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6224B82C" w14:textId="77777777" w:rsidR="003B41C3" w:rsidRPr="0038349F" w:rsidRDefault="003B41C3" w:rsidP="003B41C3">
            <w:pPr>
              <w:rPr>
                <w:b/>
                <w:sz w:val="20"/>
                <w:szCs w:val="20"/>
              </w:rPr>
            </w:pPr>
            <w:r w:rsidRPr="0038349F">
              <w:rPr>
                <w:b/>
                <w:sz w:val="20"/>
                <w:szCs w:val="20"/>
              </w:rPr>
              <w:t>23</w:t>
            </w:r>
          </w:p>
        </w:tc>
        <w:tc>
          <w:tcPr>
            <w:tcW w:w="1700" w:type="dxa"/>
            <w:tcBorders>
              <w:top w:val="single" w:sz="4" w:space="0" w:color="auto"/>
              <w:left w:val="single" w:sz="4" w:space="0" w:color="auto"/>
              <w:bottom w:val="single" w:sz="4" w:space="0" w:color="auto"/>
              <w:right w:val="single" w:sz="4" w:space="0" w:color="auto"/>
            </w:tcBorders>
          </w:tcPr>
          <w:p w14:paraId="35BA50CB" w14:textId="77777777" w:rsidR="003B41C3" w:rsidRPr="0038349F" w:rsidRDefault="003B41C3" w:rsidP="003B41C3">
            <w:pPr>
              <w:spacing w:line="0" w:lineRule="atLeast"/>
              <w:rPr>
                <w:sz w:val="20"/>
                <w:szCs w:val="20"/>
              </w:rPr>
            </w:pPr>
            <w:r w:rsidRPr="0038349F">
              <w:rPr>
                <w:sz w:val="20"/>
                <w:szCs w:val="20"/>
              </w:rPr>
              <w:t xml:space="preserve">Acción de Grupo </w:t>
            </w:r>
          </w:p>
          <w:p w14:paraId="47BA494C" w14:textId="77777777" w:rsidR="003B41C3" w:rsidRPr="0038349F" w:rsidRDefault="003B41C3" w:rsidP="003B41C3">
            <w:pPr>
              <w:spacing w:line="0" w:lineRule="atLeast"/>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09AC25F" w14:textId="77777777" w:rsidR="003B41C3" w:rsidRPr="0038349F" w:rsidRDefault="003B41C3" w:rsidP="003B41C3">
            <w:pPr>
              <w:jc w:val="both"/>
              <w:rPr>
                <w:sz w:val="20"/>
                <w:szCs w:val="20"/>
              </w:rPr>
            </w:pPr>
            <w:r w:rsidRPr="0038349F">
              <w:rPr>
                <w:sz w:val="20"/>
                <w:szCs w:val="20"/>
              </w:rPr>
              <w:t xml:space="preserve">Alba Cruz Sánchez y Otros </w:t>
            </w:r>
          </w:p>
        </w:tc>
        <w:tc>
          <w:tcPr>
            <w:tcW w:w="2100" w:type="dxa"/>
            <w:tcBorders>
              <w:top w:val="single" w:sz="4" w:space="0" w:color="auto"/>
              <w:left w:val="single" w:sz="4" w:space="0" w:color="auto"/>
              <w:bottom w:val="single" w:sz="4" w:space="0" w:color="auto"/>
              <w:right w:val="single" w:sz="4" w:space="0" w:color="auto"/>
            </w:tcBorders>
            <w:hideMark/>
          </w:tcPr>
          <w:p w14:paraId="5C1FA794" w14:textId="77777777" w:rsidR="003B41C3" w:rsidRPr="0038349F" w:rsidRDefault="003B41C3" w:rsidP="003B41C3">
            <w:pPr>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6CB647" w14:textId="77777777" w:rsidR="003B41C3" w:rsidRPr="0038349F" w:rsidRDefault="003B41C3" w:rsidP="003B41C3">
            <w:pPr>
              <w:spacing w:line="0" w:lineRule="atLeast"/>
              <w:rPr>
                <w:sz w:val="20"/>
                <w:szCs w:val="20"/>
              </w:rPr>
            </w:pPr>
            <w:r w:rsidRPr="0038349F">
              <w:rPr>
                <w:sz w:val="20"/>
                <w:szCs w:val="20"/>
              </w:rPr>
              <w:t>$1.047.059.244.896</w:t>
            </w:r>
          </w:p>
          <w:p w14:paraId="76998FA4" w14:textId="77777777" w:rsidR="003B41C3" w:rsidRPr="0038349F" w:rsidRDefault="003B41C3" w:rsidP="003B41C3">
            <w:pPr>
              <w:rPr>
                <w:sz w:val="20"/>
                <w:szCs w:val="20"/>
              </w:rPr>
            </w:pPr>
          </w:p>
        </w:tc>
      </w:tr>
      <w:tr w:rsidR="003B41C3" w14:paraId="52A7832A"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8322AB7" w14:textId="77777777" w:rsidR="003B41C3" w:rsidRPr="0038349F" w:rsidRDefault="003B41C3" w:rsidP="003B41C3">
            <w:pPr>
              <w:rPr>
                <w:b/>
                <w:sz w:val="20"/>
                <w:szCs w:val="20"/>
              </w:rPr>
            </w:pPr>
            <w:r w:rsidRPr="0038349F">
              <w:rPr>
                <w:b/>
                <w:sz w:val="20"/>
                <w:szCs w:val="20"/>
              </w:rPr>
              <w:t>24</w:t>
            </w:r>
          </w:p>
        </w:tc>
        <w:tc>
          <w:tcPr>
            <w:tcW w:w="1700" w:type="dxa"/>
            <w:tcBorders>
              <w:top w:val="single" w:sz="4" w:space="0" w:color="auto"/>
              <w:left w:val="single" w:sz="4" w:space="0" w:color="auto"/>
              <w:bottom w:val="single" w:sz="4" w:space="0" w:color="auto"/>
              <w:right w:val="single" w:sz="4" w:space="0" w:color="auto"/>
            </w:tcBorders>
            <w:hideMark/>
          </w:tcPr>
          <w:p w14:paraId="779D7523" w14:textId="77777777" w:rsidR="003B41C3" w:rsidRPr="0038349F" w:rsidRDefault="003B41C3" w:rsidP="003B41C3">
            <w:pPr>
              <w:spacing w:line="0" w:lineRule="atLeast"/>
              <w:jc w:val="both"/>
              <w:rPr>
                <w:sz w:val="20"/>
                <w:szCs w:val="20"/>
              </w:rPr>
            </w:pPr>
            <w:r w:rsidRPr="0038349F">
              <w:rPr>
                <w:sz w:val="20"/>
                <w:szCs w:val="20"/>
              </w:rPr>
              <w:t xml:space="preserve">Acción Nulidad y Restablecimiento Derecho </w:t>
            </w:r>
          </w:p>
        </w:tc>
        <w:tc>
          <w:tcPr>
            <w:tcW w:w="2268" w:type="dxa"/>
            <w:tcBorders>
              <w:top w:val="single" w:sz="4" w:space="0" w:color="auto"/>
              <w:left w:val="single" w:sz="4" w:space="0" w:color="auto"/>
              <w:bottom w:val="single" w:sz="4" w:space="0" w:color="auto"/>
              <w:right w:val="single" w:sz="4" w:space="0" w:color="auto"/>
            </w:tcBorders>
            <w:hideMark/>
          </w:tcPr>
          <w:p w14:paraId="6EA3A491" w14:textId="77777777" w:rsidR="003B41C3" w:rsidRPr="0038349F" w:rsidRDefault="003B41C3" w:rsidP="003B41C3">
            <w:pPr>
              <w:jc w:val="both"/>
              <w:rPr>
                <w:sz w:val="20"/>
                <w:szCs w:val="20"/>
              </w:rPr>
            </w:pPr>
            <w:r w:rsidRPr="0038349F">
              <w:rPr>
                <w:sz w:val="20"/>
                <w:szCs w:val="20"/>
              </w:rPr>
              <w:t xml:space="preserve">American Port </w:t>
            </w:r>
            <w:proofErr w:type="spellStart"/>
            <w:r w:rsidRPr="0038349F">
              <w:rPr>
                <w:sz w:val="20"/>
                <w:szCs w:val="20"/>
              </w:rPr>
              <w:t>Company</w:t>
            </w:r>
            <w:proofErr w:type="spellEnd"/>
          </w:p>
        </w:tc>
        <w:tc>
          <w:tcPr>
            <w:tcW w:w="2100" w:type="dxa"/>
            <w:tcBorders>
              <w:top w:val="single" w:sz="4" w:space="0" w:color="auto"/>
              <w:left w:val="single" w:sz="4" w:space="0" w:color="auto"/>
              <w:bottom w:val="single" w:sz="4" w:space="0" w:color="auto"/>
              <w:right w:val="single" w:sz="4" w:space="0" w:color="auto"/>
            </w:tcBorders>
            <w:hideMark/>
          </w:tcPr>
          <w:p w14:paraId="16ED3B66" w14:textId="77777777" w:rsidR="003B41C3" w:rsidRPr="0038349F" w:rsidRDefault="003B41C3" w:rsidP="003B41C3">
            <w:pPr>
              <w:jc w:val="both"/>
              <w:rPr>
                <w:sz w:val="20"/>
                <w:szCs w:val="20"/>
              </w:rPr>
            </w:pPr>
            <w:r w:rsidRPr="0038349F">
              <w:rPr>
                <w:sz w:val="20"/>
                <w:szCs w:val="20"/>
              </w:rPr>
              <w:t>ANLA</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0C811D" w14:textId="77777777" w:rsidR="003B41C3" w:rsidRPr="0038349F" w:rsidRDefault="003B41C3" w:rsidP="003B41C3">
            <w:pPr>
              <w:spacing w:line="0" w:lineRule="atLeast"/>
              <w:jc w:val="both"/>
              <w:rPr>
                <w:sz w:val="20"/>
                <w:szCs w:val="20"/>
              </w:rPr>
            </w:pPr>
            <w:r w:rsidRPr="0038349F">
              <w:rPr>
                <w:sz w:val="20"/>
                <w:szCs w:val="20"/>
              </w:rPr>
              <w:t>$855.675.782.520</w:t>
            </w:r>
          </w:p>
          <w:p w14:paraId="48C1ECD5" w14:textId="77777777" w:rsidR="003B41C3" w:rsidRPr="0038349F" w:rsidRDefault="003B41C3" w:rsidP="003B41C3">
            <w:pPr>
              <w:rPr>
                <w:sz w:val="20"/>
                <w:szCs w:val="20"/>
              </w:rPr>
            </w:pPr>
          </w:p>
        </w:tc>
      </w:tr>
      <w:tr w:rsidR="003B41C3" w14:paraId="0CC6765F"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7F5FCFA6" w14:textId="77777777" w:rsidR="003B41C3" w:rsidRPr="0038349F" w:rsidRDefault="003B41C3" w:rsidP="003B41C3">
            <w:pPr>
              <w:rPr>
                <w:b/>
                <w:sz w:val="20"/>
                <w:szCs w:val="20"/>
              </w:rPr>
            </w:pPr>
            <w:r w:rsidRPr="0038349F">
              <w:rPr>
                <w:b/>
                <w:sz w:val="20"/>
                <w:szCs w:val="20"/>
              </w:rPr>
              <w:t>25</w:t>
            </w:r>
          </w:p>
        </w:tc>
        <w:tc>
          <w:tcPr>
            <w:tcW w:w="1700" w:type="dxa"/>
            <w:tcBorders>
              <w:top w:val="single" w:sz="4" w:space="0" w:color="auto"/>
              <w:left w:val="single" w:sz="4" w:space="0" w:color="auto"/>
              <w:bottom w:val="single" w:sz="4" w:space="0" w:color="auto"/>
              <w:right w:val="single" w:sz="4" w:space="0" w:color="auto"/>
            </w:tcBorders>
          </w:tcPr>
          <w:p w14:paraId="19AE1B01" w14:textId="77777777" w:rsidR="003B41C3" w:rsidRPr="0038349F" w:rsidRDefault="003B41C3" w:rsidP="003B41C3">
            <w:pPr>
              <w:spacing w:line="0" w:lineRule="atLeast"/>
              <w:rPr>
                <w:sz w:val="20"/>
                <w:szCs w:val="20"/>
              </w:rPr>
            </w:pPr>
            <w:r w:rsidRPr="0038349F">
              <w:rPr>
                <w:sz w:val="20"/>
                <w:szCs w:val="20"/>
              </w:rPr>
              <w:t xml:space="preserve">Acción de Grupo </w:t>
            </w:r>
          </w:p>
          <w:p w14:paraId="474EA70A" w14:textId="77777777" w:rsidR="003B41C3" w:rsidRPr="0038349F" w:rsidRDefault="003B41C3" w:rsidP="003B41C3">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F6B14E2" w14:textId="77777777" w:rsidR="003B41C3" w:rsidRPr="0038349F" w:rsidRDefault="003B41C3" w:rsidP="003B41C3">
            <w:pPr>
              <w:jc w:val="both"/>
              <w:rPr>
                <w:sz w:val="20"/>
                <w:szCs w:val="20"/>
              </w:rPr>
            </w:pPr>
            <w:r w:rsidRPr="0038349F">
              <w:rPr>
                <w:sz w:val="20"/>
                <w:szCs w:val="20"/>
              </w:rPr>
              <w:t>Ligia Isabel Rojas y Otros</w:t>
            </w:r>
          </w:p>
        </w:tc>
        <w:tc>
          <w:tcPr>
            <w:tcW w:w="2100" w:type="dxa"/>
            <w:tcBorders>
              <w:top w:val="single" w:sz="4" w:space="0" w:color="auto"/>
              <w:left w:val="single" w:sz="4" w:space="0" w:color="auto"/>
              <w:bottom w:val="single" w:sz="4" w:space="0" w:color="auto"/>
              <w:right w:val="single" w:sz="4" w:space="0" w:color="auto"/>
            </w:tcBorders>
            <w:hideMark/>
          </w:tcPr>
          <w:p w14:paraId="3A0CEB4F" w14:textId="77777777" w:rsidR="003B41C3" w:rsidRPr="0038349F" w:rsidRDefault="003B41C3" w:rsidP="003B41C3">
            <w:pPr>
              <w:jc w:val="both"/>
              <w:rPr>
                <w:sz w:val="20"/>
                <w:szCs w:val="20"/>
              </w:rPr>
            </w:pPr>
            <w:r w:rsidRPr="0038349F">
              <w:rPr>
                <w:sz w:val="20"/>
                <w:szCs w:val="20"/>
              </w:rPr>
              <w:t>Superintendencia Financiera y Otros</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CABFAEF" w14:textId="77777777" w:rsidR="003B41C3" w:rsidRPr="0038349F" w:rsidRDefault="003B41C3" w:rsidP="003B41C3">
            <w:pPr>
              <w:rPr>
                <w:sz w:val="20"/>
                <w:szCs w:val="20"/>
              </w:rPr>
            </w:pPr>
            <w:r w:rsidRPr="0038349F">
              <w:rPr>
                <w:sz w:val="20"/>
                <w:szCs w:val="20"/>
              </w:rPr>
              <w:t>$894.528.000.000</w:t>
            </w:r>
          </w:p>
        </w:tc>
      </w:tr>
    </w:tbl>
    <w:p w14:paraId="67DA153E" w14:textId="05F54E92" w:rsidR="0054072E" w:rsidRPr="00EE7842" w:rsidRDefault="0054072E" w:rsidP="0054072E">
      <w:pPr>
        <w:ind w:right="-283"/>
        <w:jc w:val="center"/>
        <w:rPr>
          <w:rFonts w:cs="Arial"/>
          <w:b/>
          <w:sz w:val="20"/>
          <w:szCs w:val="20"/>
        </w:rPr>
      </w:pPr>
      <w:r w:rsidRPr="009915EB">
        <w:rPr>
          <w:rFonts w:cs="Arial"/>
          <w:b/>
          <w:sz w:val="18"/>
          <w:szCs w:val="18"/>
        </w:rPr>
        <w:t xml:space="preserve">Fuente: Sistema Único de Gestión e </w:t>
      </w:r>
      <w:r w:rsidRPr="00284617">
        <w:rPr>
          <w:rFonts w:cs="Arial"/>
          <w:b/>
          <w:sz w:val="18"/>
          <w:szCs w:val="18"/>
        </w:rPr>
        <w:t>Información de la Act</w:t>
      </w:r>
      <w:r>
        <w:rPr>
          <w:rFonts w:cs="Arial"/>
          <w:b/>
          <w:sz w:val="18"/>
          <w:szCs w:val="18"/>
        </w:rPr>
        <w:t xml:space="preserve">ividad Litigiosa del Estado (Abril </w:t>
      </w:r>
      <w:r w:rsidRPr="00284617">
        <w:rPr>
          <w:rFonts w:cs="Arial"/>
          <w:b/>
          <w:sz w:val="18"/>
          <w:szCs w:val="18"/>
        </w:rPr>
        <w:t xml:space="preserve"> de 2013</w:t>
      </w:r>
      <w:r>
        <w:rPr>
          <w:rFonts w:cs="Arial"/>
          <w:b/>
          <w:sz w:val="18"/>
          <w:szCs w:val="18"/>
        </w:rPr>
        <w:t>)</w:t>
      </w:r>
    </w:p>
    <w:p w14:paraId="34B7E24B" w14:textId="77777777" w:rsidR="003B41C3" w:rsidRDefault="003B41C3" w:rsidP="003B41C3">
      <w:pPr>
        <w:jc w:val="both"/>
        <w:rPr>
          <w:bCs/>
          <w:lang w:val="es-CO"/>
        </w:rPr>
      </w:pPr>
    </w:p>
    <w:p w14:paraId="0D71318A" w14:textId="77777777" w:rsidR="003B41C3" w:rsidRPr="005D0A64" w:rsidRDefault="003B41C3" w:rsidP="003B41C3">
      <w:pPr>
        <w:ind w:right="-283"/>
        <w:jc w:val="both"/>
        <w:rPr>
          <w:noProof/>
        </w:rPr>
      </w:pPr>
      <w:r w:rsidRPr="005D0A64">
        <w:rPr>
          <w:noProof/>
        </w:rPr>
        <w:t>De estos 25</w:t>
      </w:r>
      <w:r>
        <w:rPr>
          <w:noProof/>
        </w:rPr>
        <w:t xml:space="preserve"> procesos</w:t>
      </w:r>
      <w:r w:rsidRPr="005D0A64">
        <w:rPr>
          <w:noProof/>
        </w:rPr>
        <w:t>, 16 corresponden a Acciones de Grupo contra la Superintendencia Financiera de Colombia y Otros</w:t>
      </w:r>
      <w:r>
        <w:rPr>
          <w:noProof/>
        </w:rPr>
        <w:t>,</w:t>
      </w:r>
      <w:r w:rsidRPr="005D0A64">
        <w:rPr>
          <w:noProof/>
        </w:rPr>
        <w:t xml:space="preserve"> por</w:t>
      </w:r>
      <w:r>
        <w:rPr>
          <w:noProof/>
        </w:rPr>
        <w:t xml:space="preserve"> el fenómeno de </w:t>
      </w:r>
      <w:r w:rsidRPr="005D0A64">
        <w:rPr>
          <w:noProof/>
        </w:rPr>
        <w:t xml:space="preserve">captación ilegal de recursos.  </w:t>
      </w:r>
    </w:p>
    <w:p w14:paraId="4A8629E3" w14:textId="77777777" w:rsidR="003B41C3" w:rsidRDefault="003B41C3" w:rsidP="003B41C3">
      <w:pPr>
        <w:spacing w:line="264" w:lineRule="auto"/>
        <w:ind w:right="-283"/>
        <w:jc w:val="both"/>
        <w:rPr>
          <w:rFonts w:eastAsia="SimSun" w:cs="Tahoma"/>
          <w:noProof/>
          <w:lang w:val="es-CO" w:eastAsia="ja-JP"/>
        </w:rPr>
      </w:pPr>
      <w:r>
        <w:rPr>
          <w:rFonts w:eastAsia="SimSun" w:cs="Tahoma"/>
          <w:noProof/>
          <w:lang w:val="es-CO" w:eastAsia="ja-JP"/>
        </w:rPr>
        <w:lastRenderedPageBreak/>
        <w:t>Los 9 pleitos restantes se describen en términos generales de la siguiente forma:</w:t>
      </w:r>
    </w:p>
    <w:p w14:paraId="1801D07E" w14:textId="77777777" w:rsidR="003B41C3" w:rsidRDefault="003B41C3" w:rsidP="003B41C3">
      <w:pPr>
        <w:pStyle w:val="Prrafodelista"/>
        <w:numPr>
          <w:ilvl w:val="0"/>
          <w:numId w:val="58"/>
        </w:numPr>
        <w:spacing w:line="264" w:lineRule="auto"/>
        <w:ind w:left="360" w:right="-283"/>
        <w:jc w:val="both"/>
        <w:rPr>
          <w:rFonts w:eastAsia="SimSun" w:cs="Tahoma"/>
          <w:noProof/>
          <w:lang w:val="es-CO" w:eastAsia="ja-JP"/>
        </w:rPr>
      </w:pPr>
      <w:r>
        <w:rPr>
          <w:rFonts w:eastAsia="SimSun" w:cs="Tahoma"/>
          <w:noProof/>
          <w:lang w:val="es-CO" w:eastAsia="ja-JP"/>
        </w:rPr>
        <w:t>A</w:t>
      </w:r>
      <w:r w:rsidRPr="0023785E">
        <w:rPr>
          <w:rFonts w:eastAsia="SimSun" w:cs="Tahoma"/>
          <w:noProof/>
          <w:lang w:val="es-CO" w:eastAsia="ja-JP"/>
        </w:rPr>
        <w:t xml:space="preserve">cción de grupo en contra de la </w:t>
      </w:r>
      <w:r w:rsidR="00C15372">
        <w:rPr>
          <w:rFonts w:eastAsia="SimSun" w:cs="Tahoma"/>
          <w:noProof/>
          <w:lang w:val="es-CO" w:eastAsia="ja-JP"/>
        </w:rPr>
        <w:t>COMISIÓN DE REGULACIÓN DE COMUNICACIONES</w:t>
      </w:r>
      <w:r w:rsidRPr="0023785E">
        <w:rPr>
          <w:rFonts w:eastAsia="SimSun" w:cs="Tahoma"/>
          <w:noProof/>
          <w:lang w:val="es-CO" w:eastAsia="ja-JP"/>
        </w:rPr>
        <w:t xml:space="preserve"> y </w:t>
      </w:r>
      <w:r w:rsidR="00C15372">
        <w:rPr>
          <w:rFonts w:eastAsia="SimSun" w:cs="Tahoma"/>
          <w:noProof/>
          <w:lang w:val="es-CO" w:eastAsia="ja-JP"/>
        </w:rPr>
        <w:t>Ministerio de Tecnologías de la Información y las Comunicaciones</w:t>
      </w:r>
      <w:r w:rsidRPr="0023785E">
        <w:rPr>
          <w:rFonts w:eastAsia="SimSun" w:cs="Tahoma"/>
          <w:noProof/>
          <w:lang w:val="es-CO" w:eastAsia="ja-JP"/>
        </w:rPr>
        <w:t xml:space="preserve"> por los perjuicios causados por la supuesta falta de regulación de la tarifa de las llamadas de “fijo a móvil”.</w:t>
      </w:r>
    </w:p>
    <w:p w14:paraId="18A84240" w14:textId="77777777" w:rsidR="003B41C3" w:rsidRPr="0023785E" w:rsidRDefault="003B41C3" w:rsidP="003B41C3">
      <w:pPr>
        <w:pStyle w:val="Prrafodelista"/>
        <w:numPr>
          <w:ilvl w:val="0"/>
          <w:numId w:val="58"/>
        </w:numPr>
        <w:spacing w:line="264" w:lineRule="auto"/>
        <w:ind w:left="360" w:right="-283"/>
        <w:jc w:val="both"/>
        <w:rPr>
          <w:rFonts w:eastAsia="SimSun" w:cs="Tahoma"/>
          <w:noProof/>
          <w:lang w:val="es-CO" w:eastAsia="ja-JP"/>
        </w:rPr>
      </w:pPr>
      <w:r>
        <w:rPr>
          <w:rFonts w:eastAsia="SimSun" w:cs="Tahoma"/>
          <w:noProof/>
          <w:lang w:val="es-CO" w:eastAsia="ja-JP"/>
        </w:rPr>
        <w:t>A</w:t>
      </w:r>
      <w:r w:rsidRPr="0023785E">
        <w:rPr>
          <w:rFonts w:eastAsia="SimSun" w:cs="Tahoma"/>
          <w:noProof/>
          <w:lang w:val="es-CO" w:eastAsia="ja-JP"/>
        </w:rPr>
        <w:t>cción de reparación directa promovida por los operadores de telefonía fija contra la Superintendencia de Industria y Comercio, también por los perjuicios que alegan se les causaron por la falta de control en las tarifas de las llamadas de “fijo a móvil”.</w:t>
      </w:r>
    </w:p>
    <w:p w14:paraId="0A0247E0" w14:textId="77777777" w:rsidR="003B41C3" w:rsidRPr="0023785E" w:rsidRDefault="003B41C3" w:rsidP="003B41C3">
      <w:pPr>
        <w:pStyle w:val="Prrafodelista"/>
        <w:numPr>
          <w:ilvl w:val="0"/>
          <w:numId w:val="58"/>
        </w:numPr>
        <w:spacing w:line="264" w:lineRule="auto"/>
        <w:ind w:left="360" w:right="-283"/>
        <w:jc w:val="both"/>
        <w:rPr>
          <w:rFonts w:eastAsia="SimSun" w:cs="Tahoma"/>
          <w:noProof/>
          <w:lang w:val="es-CO" w:eastAsia="ja-JP"/>
        </w:rPr>
      </w:pPr>
      <w:r>
        <w:rPr>
          <w:rFonts w:eastAsia="SimSun" w:cs="Tahoma"/>
          <w:noProof/>
          <w:lang w:val="es-CO" w:eastAsia="ja-JP"/>
        </w:rPr>
        <w:t>A</w:t>
      </w:r>
      <w:r w:rsidRPr="0023785E">
        <w:rPr>
          <w:rFonts w:eastAsia="SimSun" w:cs="Tahoma"/>
          <w:noProof/>
          <w:lang w:val="es-CO" w:eastAsia="ja-JP"/>
        </w:rPr>
        <w:t xml:space="preserve">cción de grupo en contra de </w:t>
      </w:r>
      <w:r w:rsidR="00C15372">
        <w:rPr>
          <w:rFonts w:eastAsia="SimSun" w:cs="Tahoma"/>
          <w:noProof/>
          <w:lang w:val="es-CO" w:eastAsia="ja-JP"/>
        </w:rPr>
        <w:t>Ministerio de Minas y Energía</w:t>
      </w:r>
      <w:r w:rsidRPr="0023785E">
        <w:rPr>
          <w:rFonts w:eastAsia="SimSun" w:cs="Tahoma"/>
          <w:noProof/>
          <w:lang w:val="es-CO" w:eastAsia="ja-JP"/>
        </w:rPr>
        <w:t xml:space="preserve">, </w:t>
      </w:r>
      <w:r w:rsidR="00C15372">
        <w:rPr>
          <w:rFonts w:eastAsia="SimSun" w:cs="Tahoma"/>
          <w:noProof/>
          <w:lang w:val="es-CO" w:eastAsia="ja-JP"/>
        </w:rPr>
        <w:t>Ministerio de Hacienda y Crédito Público</w:t>
      </w:r>
      <w:r w:rsidRPr="0023785E">
        <w:rPr>
          <w:rFonts w:eastAsia="SimSun" w:cs="Tahoma"/>
          <w:noProof/>
          <w:lang w:val="es-CO" w:eastAsia="ja-JP"/>
        </w:rPr>
        <w:t xml:space="preserve"> e ISA por los  diferentes procesos de emisión de acciones que ha adelantado esta empresa.</w:t>
      </w:r>
    </w:p>
    <w:p w14:paraId="148C1FD0" w14:textId="77777777" w:rsidR="003B41C3" w:rsidRPr="0023785E" w:rsidRDefault="003B41C3" w:rsidP="003B41C3">
      <w:pPr>
        <w:pStyle w:val="Prrafodelista"/>
        <w:numPr>
          <w:ilvl w:val="0"/>
          <w:numId w:val="58"/>
        </w:numPr>
        <w:spacing w:line="264" w:lineRule="auto"/>
        <w:ind w:left="360" w:right="-283"/>
        <w:jc w:val="both"/>
        <w:rPr>
          <w:rFonts w:eastAsia="SimSun" w:cs="Tahoma"/>
          <w:noProof/>
          <w:lang w:val="es-CO" w:eastAsia="ja-JP"/>
        </w:rPr>
      </w:pPr>
      <w:r>
        <w:rPr>
          <w:rFonts w:eastAsia="SimSun" w:cs="Tahoma"/>
          <w:noProof/>
          <w:lang w:val="es-CO" w:eastAsia="ja-JP"/>
        </w:rPr>
        <w:t>A</w:t>
      </w:r>
      <w:r w:rsidRPr="0023785E">
        <w:rPr>
          <w:rFonts w:eastAsia="SimSun" w:cs="Tahoma"/>
          <w:noProof/>
          <w:lang w:val="es-CO" w:eastAsia="ja-JP"/>
        </w:rPr>
        <w:t xml:space="preserve">cción de grupo contra Cormagdalena, Min Transporte, Invias y otras entidades por la ruptura del Canal del Dique. </w:t>
      </w:r>
    </w:p>
    <w:p w14:paraId="5EAD3452" w14:textId="77777777" w:rsidR="003B41C3" w:rsidRPr="0023785E" w:rsidRDefault="003B41C3" w:rsidP="003B41C3">
      <w:pPr>
        <w:pStyle w:val="Prrafodelista"/>
        <w:numPr>
          <w:ilvl w:val="0"/>
          <w:numId w:val="58"/>
        </w:numPr>
        <w:spacing w:line="264" w:lineRule="auto"/>
        <w:ind w:left="360" w:right="-283"/>
        <w:jc w:val="both"/>
        <w:rPr>
          <w:rFonts w:eastAsia="SimSun" w:cs="Tahoma"/>
          <w:noProof/>
          <w:lang w:val="es-CO" w:eastAsia="ja-JP"/>
        </w:rPr>
      </w:pPr>
      <w:r>
        <w:rPr>
          <w:rFonts w:eastAsia="SimSun" w:cs="Tahoma"/>
          <w:noProof/>
          <w:lang w:val="es-CO" w:eastAsia="ja-JP"/>
        </w:rPr>
        <w:t>A</w:t>
      </w:r>
      <w:r w:rsidRPr="0023785E">
        <w:rPr>
          <w:rFonts w:eastAsia="SimSun" w:cs="Tahoma"/>
          <w:noProof/>
          <w:lang w:val="es-CO" w:eastAsia="ja-JP"/>
        </w:rPr>
        <w:t>cción de reparación directa en contra Min Transporte  y Transmilenio por la implementación del Sistema Masivo de Transporte.</w:t>
      </w:r>
    </w:p>
    <w:p w14:paraId="35BD0BC0" w14:textId="77777777" w:rsidR="003B41C3" w:rsidRPr="0023785E" w:rsidRDefault="003B41C3" w:rsidP="003B41C3">
      <w:pPr>
        <w:pStyle w:val="Prrafodelista"/>
        <w:numPr>
          <w:ilvl w:val="0"/>
          <w:numId w:val="58"/>
        </w:numPr>
        <w:spacing w:line="264" w:lineRule="auto"/>
        <w:ind w:left="360" w:right="-283"/>
        <w:jc w:val="both"/>
        <w:rPr>
          <w:rFonts w:eastAsia="SimSun" w:cs="Tahoma"/>
          <w:noProof/>
          <w:lang w:val="es-CO" w:eastAsia="ja-JP"/>
        </w:rPr>
      </w:pPr>
      <w:r>
        <w:rPr>
          <w:rFonts w:eastAsia="SimSun" w:cs="Tahoma"/>
          <w:noProof/>
          <w:lang w:val="es-CO" w:eastAsia="ja-JP"/>
        </w:rPr>
        <w:t>A</w:t>
      </w:r>
      <w:r w:rsidRPr="0023785E">
        <w:rPr>
          <w:rFonts w:eastAsia="SimSun" w:cs="Tahoma"/>
          <w:noProof/>
          <w:lang w:val="es-CO" w:eastAsia="ja-JP"/>
        </w:rPr>
        <w:t xml:space="preserve">cción de nulidad y restablecimiento del derecho en contra de </w:t>
      </w:r>
      <w:r w:rsidR="00C15372">
        <w:rPr>
          <w:rFonts w:eastAsia="SimSun" w:cs="Tahoma"/>
          <w:noProof/>
          <w:lang w:val="es-CO" w:eastAsia="ja-JP"/>
        </w:rPr>
        <w:t>Ministerio de Hacienda y Crédito Público</w:t>
      </w:r>
      <w:r w:rsidRPr="0023785E">
        <w:rPr>
          <w:rFonts w:eastAsia="SimSun" w:cs="Tahoma"/>
          <w:noProof/>
          <w:lang w:val="es-CO" w:eastAsia="ja-JP"/>
        </w:rPr>
        <w:t>, Banco de la República y otra, por la solicitud de reconocimiento de un crédito en la liquidación del Banco del Estado.</w:t>
      </w:r>
    </w:p>
    <w:p w14:paraId="3078960C" w14:textId="77777777" w:rsidR="003B41C3" w:rsidRPr="0023785E" w:rsidRDefault="003B41C3" w:rsidP="003B41C3">
      <w:pPr>
        <w:pStyle w:val="Prrafodelista"/>
        <w:numPr>
          <w:ilvl w:val="0"/>
          <w:numId w:val="58"/>
        </w:numPr>
        <w:spacing w:line="264" w:lineRule="auto"/>
        <w:ind w:left="360" w:right="-283"/>
        <w:jc w:val="both"/>
        <w:rPr>
          <w:rFonts w:eastAsia="SimSun" w:cs="Tahoma"/>
          <w:noProof/>
          <w:lang w:val="es-CO" w:eastAsia="ja-JP"/>
        </w:rPr>
      </w:pPr>
      <w:r>
        <w:rPr>
          <w:rFonts w:eastAsia="SimSun" w:cs="Tahoma"/>
          <w:noProof/>
          <w:lang w:val="es-CO" w:eastAsia="ja-JP"/>
        </w:rPr>
        <w:t>A</w:t>
      </w:r>
      <w:r w:rsidRPr="0023785E">
        <w:rPr>
          <w:rFonts w:eastAsia="SimSun" w:cs="Tahoma"/>
          <w:noProof/>
          <w:lang w:val="es-CO" w:eastAsia="ja-JP"/>
        </w:rPr>
        <w:t>cción de reparación directa en contra de la Aeronáutica Civil por la suspensión y cancelación de la operación de Intercontinental de Aviación.</w:t>
      </w:r>
    </w:p>
    <w:p w14:paraId="1D212746" w14:textId="77777777" w:rsidR="003B41C3" w:rsidRPr="0023785E" w:rsidRDefault="003B41C3" w:rsidP="003B41C3">
      <w:pPr>
        <w:pStyle w:val="Prrafodelista"/>
        <w:numPr>
          <w:ilvl w:val="0"/>
          <w:numId w:val="58"/>
        </w:numPr>
        <w:spacing w:line="264" w:lineRule="auto"/>
        <w:ind w:left="360" w:right="-283"/>
        <w:jc w:val="both"/>
        <w:rPr>
          <w:rFonts w:eastAsia="SimSun" w:cs="Tahoma"/>
          <w:noProof/>
          <w:lang w:val="es-CO" w:eastAsia="ja-JP"/>
        </w:rPr>
      </w:pPr>
      <w:r w:rsidRPr="0023785E">
        <w:rPr>
          <w:rFonts w:eastAsia="SimSun" w:cs="Tahoma"/>
          <w:noProof/>
          <w:lang w:val="es-CO" w:eastAsia="ja-JP"/>
        </w:rPr>
        <w:t>Acción de Grupo contra el Ministerio de Defensa Nacional/Policía Nacional y otros por los perjuicios sufridos por una comunidad del Cauca afectada por asperciones aéreas con glifosato.</w:t>
      </w:r>
    </w:p>
    <w:p w14:paraId="1BEC64E6" w14:textId="77777777" w:rsidR="003B41C3" w:rsidRPr="0023785E" w:rsidRDefault="003B41C3" w:rsidP="003B41C3">
      <w:pPr>
        <w:pStyle w:val="Prrafodelista"/>
        <w:numPr>
          <w:ilvl w:val="0"/>
          <w:numId w:val="58"/>
        </w:numPr>
        <w:spacing w:line="264" w:lineRule="auto"/>
        <w:ind w:left="360" w:right="-283"/>
        <w:jc w:val="both"/>
        <w:rPr>
          <w:rFonts w:eastAsia="SimSun" w:cs="Tahoma"/>
          <w:noProof/>
          <w:lang w:val="es-CO" w:eastAsia="ja-JP"/>
        </w:rPr>
      </w:pPr>
      <w:r>
        <w:rPr>
          <w:rFonts w:eastAsia="SimSun" w:cs="Tahoma"/>
          <w:noProof/>
          <w:lang w:val="es-CO" w:eastAsia="ja-JP"/>
        </w:rPr>
        <w:t>A</w:t>
      </w:r>
      <w:r w:rsidRPr="0023785E">
        <w:rPr>
          <w:rFonts w:eastAsia="SimSun" w:cs="Tahoma"/>
          <w:noProof/>
          <w:lang w:val="es-CO" w:eastAsia="ja-JP"/>
        </w:rPr>
        <w:t>cción de Nulidad y Restablecimiento del Derecho contra la ANLA derivada de obligaciones impuestas a American Port Co. (Drummond) en la operación de un puerto carbonífero en Santa Marta.</w:t>
      </w:r>
    </w:p>
    <w:p w14:paraId="56E7956F" w14:textId="77777777" w:rsidR="003B41C3" w:rsidRDefault="003B41C3" w:rsidP="003B41C3">
      <w:pPr>
        <w:spacing w:line="264" w:lineRule="auto"/>
        <w:ind w:right="-283"/>
        <w:jc w:val="both"/>
        <w:rPr>
          <w:rFonts w:eastAsia="SimSun" w:cs="Tahoma"/>
          <w:noProof/>
          <w:lang w:val="es-CO" w:eastAsia="ja-JP"/>
        </w:rPr>
      </w:pPr>
      <w:r>
        <w:rPr>
          <w:rFonts w:eastAsia="SimSun" w:cs="Tahoma"/>
          <w:noProof/>
          <w:lang w:val="es-CO" w:eastAsia="ja-JP"/>
        </w:rPr>
        <w:t xml:space="preserve">Las gestiones adelantadas por parte de la Agencia en estos procesos fueron: </w:t>
      </w:r>
    </w:p>
    <w:p w14:paraId="0D5CA0EA" w14:textId="77777777" w:rsidR="003B41C3" w:rsidRPr="00E46994" w:rsidRDefault="003B41C3" w:rsidP="003B41C3">
      <w:pPr>
        <w:pStyle w:val="Prrafodelista"/>
        <w:numPr>
          <w:ilvl w:val="3"/>
          <w:numId w:val="63"/>
        </w:numPr>
        <w:spacing w:line="264" w:lineRule="auto"/>
        <w:ind w:right="-283"/>
        <w:jc w:val="both"/>
        <w:rPr>
          <w:rFonts w:eastAsia="SimSun" w:cs="Tahoma"/>
          <w:noProof/>
          <w:lang w:val="es-CO" w:eastAsia="ja-JP"/>
        </w:rPr>
      </w:pPr>
      <w:r w:rsidRPr="00E46994">
        <w:rPr>
          <w:rFonts w:eastAsia="SimSun" w:cs="Tahoma"/>
          <w:b/>
          <w:noProof/>
          <w:lang w:val="es-CO" w:eastAsia="ja-JP"/>
        </w:rPr>
        <w:t xml:space="preserve">Estudio Jurídico: </w:t>
      </w:r>
      <w:r w:rsidRPr="00E46994">
        <w:rPr>
          <w:rFonts w:eastAsia="SimSun" w:cs="Tahoma"/>
          <w:noProof/>
          <w:lang w:val="es-CO" w:eastAsia="ja-JP"/>
        </w:rPr>
        <w:t xml:space="preserve">Este estudio comprendió tanto el diagnóstico de cada proceso como la identificación de la línea de acción a seguir por las Entidades y por parte de la Agencia. </w:t>
      </w:r>
    </w:p>
    <w:p w14:paraId="3595DF77" w14:textId="77777777" w:rsidR="003B41C3" w:rsidRDefault="003B41C3" w:rsidP="003B41C3">
      <w:pPr>
        <w:pStyle w:val="Prrafodelista"/>
        <w:spacing w:line="264" w:lineRule="auto"/>
        <w:ind w:left="360" w:right="-283"/>
        <w:jc w:val="both"/>
        <w:rPr>
          <w:rFonts w:eastAsia="SimSun" w:cs="Tahoma"/>
          <w:noProof/>
          <w:lang w:val="es-CO" w:eastAsia="ja-JP"/>
        </w:rPr>
      </w:pPr>
    </w:p>
    <w:p w14:paraId="51AAA362" w14:textId="77777777" w:rsidR="003B41C3" w:rsidRPr="00E46994" w:rsidRDefault="003B41C3" w:rsidP="003B41C3">
      <w:pPr>
        <w:pStyle w:val="Prrafodelista"/>
        <w:numPr>
          <w:ilvl w:val="3"/>
          <w:numId w:val="63"/>
        </w:numPr>
        <w:spacing w:line="264" w:lineRule="auto"/>
        <w:ind w:right="-283"/>
        <w:jc w:val="both"/>
        <w:rPr>
          <w:rFonts w:eastAsia="SimSun" w:cs="Tahoma"/>
          <w:noProof/>
          <w:lang w:val="es-CO" w:eastAsia="ja-JP"/>
        </w:rPr>
      </w:pPr>
      <w:r w:rsidRPr="00E46994">
        <w:rPr>
          <w:rFonts w:eastAsia="SimSun" w:cs="Tahoma"/>
          <w:b/>
          <w:noProof/>
          <w:lang w:val="es-CO" w:eastAsia="ja-JP"/>
        </w:rPr>
        <w:t xml:space="preserve">Recomendaciones: </w:t>
      </w:r>
      <w:r w:rsidRPr="00E46994">
        <w:rPr>
          <w:rFonts w:eastAsia="SimSun" w:cs="Tahoma"/>
          <w:noProof/>
          <w:lang w:val="es-CO" w:eastAsia="ja-JP"/>
        </w:rPr>
        <w:t>A partir del estudio jurídico que se realizó, la Agencia remitió recomendaciones generales y particulares a las entidades demandadas.</w:t>
      </w:r>
    </w:p>
    <w:p w14:paraId="1A4AC790" w14:textId="77777777" w:rsidR="003B41C3" w:rsidRPr="0038349F" w:rsidRDefault="003B41C3" w:rsidP="003B41C3">
      <w:pPr>
        <w:pStyle w:val="Prrafodelista"/>
        <w:rPr>
          <w:rFonts w:eastAsia="SimSun" w:cs="Tahoma"/>
          <w:noProof/>
          <w:lang w:val="es-CO" w:eastAsia="ja-JP"/>
        </w:rPr>
      </w:pPr>
    </w:p>
    <w:p w14:paraId="41D69470" w14:textId="77777777" w:rsidR="003B41C3" w:rsidRPr="00E46994" w:rsidRDefault="003B41C3" w:rsidP="003B41C3">
      <w:pPr>
        <w:pStyle w:val="Prrafodelista"/>
        <w:numPr>
          <w:ilvl w:val="3"/>
          <w:numId w:val="63"/>
        </w:numPr>
        <w:spacing w:line="264" w:lineRule="auto"/>
        <w:ind w:right="-283"/>
        <w:jc w:val="both"/>
        <w:rPr>
          <w:rFonts w:eastAsia="SimSun" w:cs="Tahoma"/>
          <w:noProof/>
          <w:lang w:val="es-CO" w:eastAsia="ja-JP"/>
        </w:rPr>
      </w:pPr>
      <w:r w:rsidRPr="00E46994">
        <w:rPr>
          <w:rFonts w:eastAsia="SimSun" w:cs="Tahoma"/>
          <w:b/>
          <w:noProof/>
          <w:lang w:val="es-CO" w:eastAsia="ja-JP"/>
        </w:rPr>
        <w:t>Mesas Interinstitucionales</w:t>
      </w:r>
      <w:r w:rsidRPr="00E46994">
        <w:rPr>
          <w:rFonts w:eastAsia="SimSun" w:cs="Tahoma"/>
          <w:noProof/>
          <w:lang w:val="es-CO" w:eastAsia="ja-JP"/>
        </w:rPr>
        <w:t xml:space="preserve">: En las siguientes acciones de grupo.  </w:t>
      </w:r>
    </w:p>
    <w:p w14:paraId="60095E35" w14:textId="77777777" w:rsidR="003B41C3" w:rsidRPr="004F36E3" w:rsidRDefault="003B41C3" w:rsidP="003B41C3">
      <w:pPr>
        <w:spacing w:line="264" w:lineRule="auto"/>
        <w:ind w:left="1134" w:right="-283"/>
        <w:jc w:val="both"/>
        <w:rPr>
          <w:rFonts w:eastAsia="SimSun" w:cs="Tahoma"/>
          <w:noProof/>
          <w:lang w:val="es-CO" w:eastAsia="ja-JP"/>
        </w:rPr>
      </w:pPr>
      <w:r w:rsidRPr="004F36E3">
        <w:rPr>
          <w:rFonts w:eastAsia="SimSun" w:cs="Tahoma"/>
          <w:noProof/>
          <w:lang w:val="es-CO" w:eastAsia="ja-JP"/>
        </w:rPr>
        <w:lastRenderedPageBreak/>
        <w:t xml:space="preserve">En las 16 acciones de grupo entabladas por captación ilegal de recursos y en general en aproximadamente 700 acciones que por este razón cursan, la Agencia lidera una Mesa Interinstitucional conformada por las entidades demandadas, creada para articular la estrategia de defensa.  De igual manera, la Agencia entregó un Informe a la Mesa resultado del diagnóstico realizado a estos 16 procesos. </w:t>
      </w:r>
    </w:p>
    <w:p w14:paraId="62700911" w14:textId="77777777" w:rsidR="003B41C3" w:rsidRPr="004F36E3" w:rsidRDefault="003B41C3" w:rsidP="003B41C3">
      <w:pPr>
        <w:spacing w:line="264" w:lineRule="auto"/>
        <w:ind w:left="1134" w:right="-283"/>
        <w:jc w:val="both"/>
        <w:rPr>
          <w:rFonts w:eastAsia="SimSun" w:cs="Tahoma"/>
          <w:noProof/>
          <w:lang w:val="es-CO" w:eastAsia="ja-JP"/>
        </w:rPr>
      </w:pPr>
      <w:r w:rsidRPr="004F36E3">
        <w:rPr>
          <w:rFonts w:eastAsia="SimSun" w:cs="Tahoma"/>
          <w:noProof/>
          <w:lang w:val="es-CO" w:eastAsia="ja-JP"/>
        </w:rPr>
        <w:t xml:space="preserve">En la acción de grupo por la ruptura del Canal del Dique, la Agencia también lidera una Mesa Interintitucional de las mismas características por medio de la cual </w:t>
      </w:r>
      <w:r>
        <w:rPr>
          <w:rFonts w:eastAsia="SimSun" w:cs="Tahoma"/>
          <w:noProof/>
          <w:lang w:val="es-CO" w:eastAsia="ja-JP"/>
        </w:rPr>
        <w:t xml:space="preserve">se </w:t>
      </w:r>
      <w:r w:rsidRPr="004F36E3">
        <w:rPr>
          <w:rFonts w:eastAsia="SimSun" w:cs="Tahoma"/>
          <w:noProof/>
          <w:lang w:val="es-CO" w:eastAsia="ja-JP"/>
        </w:rPr>
        <w:t>coordina la estrategia de defensa de las entidades que han sido demandadas.</w:t>
      </w:r>
    </w:p>
    <w:p w14:paraId="7F18CE01" w14:textId="77777777" w:rsidR="003B41C3" w:rsidRPr="004F36E3" w:rsidRDefault="003B41C3" w:rsidP="003B41C3">
      <w:pPr>
        <w:spacing w:line="264" w:lineRule="auto"/>
        <w:ind w:left="1134" w:right="-283"/>
        <w:jc w:val="both"/>
        <w:rPr>
          <w:rFonts w:eastAsia="SimSun" w:cs="Tahoma"/>
          <w:noProof/>
          <w:lang w:val="es-CO" w:eastAsia="ja-JP"/>
        </w:rPr>
      </w:pPr>
      <w:r w:rsidRPr="004F36E3">
        <w:rPr>
          <w:rFonts w:eastAsia="SimSun" w:cs="Tahoma"/>
          <w:noProof/>
          <w:lang w:val="es-CO" w:eastAsia="ja-JP"/>
        </w:rPr>
        <w:t xml:space="preserve">En la acción de grupo promovida en contra de la </w:t>
      </w:r>
      <w:r w:rsidR="00C15372">
        <w:rPr>
          <w:rFonts w:eastAsia="SimSun" w:cs="Tahoma"/>
          <w:noProof/>
          <w:lang w:val="es-CO" w:eastAsia="ja-JP"/>
        </w:rPr>
        <w:t>COMISIÓN DE REGULACIÓN DE COMUNICACIONES</w:t>
      </w:r>
      <w:r w:rsidRPr="004F36E3">
        <w:rPr>
          <w:rFonts w:eastAsia="SimSun" w:cs="Tahoma"/>
          <w:noProof/>
          <w:lang w:val="es-CO" w:eastAsia="ja-JP"/>
        </w:rPr>
        <w:t xml:space="preserve"> y de Mintic, por la tarifa “fijo-móvil” se han realizado Mesas Interinstitucionales con las dos entidades para articular la defensa del Estado, concretamente para controvertir los dictamenes periciales que se han practicado para la cuantificación del supuesto perjuicio.</w:t>
      </w:r>
    </w:p>
    <w:p w14:paraId="75A3EDBA" w14:textId="77777777" w:rsidR="003B41C3" w:rsidRPr="00E46994" w:rsidRDefault="003B41C3" w:rsidP="003B41C3">
      <w:pPr>
        <w:pStyle w:val="Prrafodelista"/>
        <w:numPr>
          <w:ilvl w:val="3"/>
          <w:numId w:val="63"/>
        </w:numPr>
        <w:spacing w:line="264" w:lineRule="auto"/>
        <w:ind w:right="-283"/>
        <w:jc w:val="both"/>
        <w:rPr>
          <w:rFonts w:eastAsia="SimSun" w:cs="Tahoma"/>
          <w:noProof/>
          <w:lang w:val="es-CO" w:eastAsia="ja-JP"/>
        </w:rPr>
      </w:pPr>
      <w:r w:rsidRPr="00E46994">
        <w:rPr>
          <w:rFonts w:eastAsia="SimSun" w:cs="Tahoma"/>
          <w:b/>
          <w:noProof/>
          <w:lang w:val="es-CO" w:eastAsia="ja-JP"/>
        </w:rPr>
        <w:t xml:space="preserve">Intervención Procesal: </w:t>
      </w:r>
    </w:p>
    <w:p w14:paraId="2CE3F208" w14:textId="77777777" w:rsidR="003B41C3" w:rsidRPr="0038349F" w:rsidRDefault="003B41C3" w:rsidP="003B41C3">
      <w:pPr>
        <w:pStyle w:val="Prrafodelista"/>
        <w:spacing w:line="264" w:lineRule="auto"/>
        <w:ind w:left="360" w:right="-283"/>
        <w:jc w:val="both"/>
        <w:rPr>
          <w:rFonts w:eastAsia="SimSun" w:cs="Tahoma"/>
          <w:noProof/>
          <w:lang w:val="es-CO" w:eastAsia="ja-JP"/>
        </w:rPr>
      </w:pPr>
    </w:p>
    <w:p w14:paraId="3FC8E151" w14:textId="77777777" w:rsidR="003B41C3" w:rsidRPr="0038349F" w:rsidRDefault="003B41C3" w:rsidP="003B41C3">
      <w:pPr>
        <w:pStyle w:val="Prrafodelista"/>
        <w:spacing w:line="264" w:lineRule="auto"/>
        <w:ind w:left="1134" w:right="-283"/>
        <w:jc w:val="both"/>
        <w:rPr>
          <w:rFonts w:eastAsia="SimSun" w:cs="Tahoma"/>
          <w:noProof/>
          <w:lang w:val="es-CO" w:eastAsia="ja-JP"/>
        </w:rPr>
      </w:pPr>
      <w:r w:rsidRPr="0038349F">
        <w:rPr>
          <w:rFonts w:eastAsia="SimSun" w:cs="Tahoma"/>
          <w:noProof/>
          <w:lang w:val="es-CO" w:eastAsia="ja-JP"/>
        </w:rPr>
        <w:t>La Agencia intervinó en varios de los procesos originados por captación ilegal, solicit</w:t>
      </w:r>
      <w:r>
        <w:rPr>
          <w:rFonts w:eastAsia="SimSun" w:cs="Tahoma"/>
          <w:noProof/>
          <w:lang w:val="es-CO" w:eastAsia="ja-JP"/>
        </w:rPr>
        <w:t>ó</w:t>
      </w:r>
      <w:r w:rsidRPr="0038349F">
        <w:rPr>
          <w:rFonts w:eastAsia="SimSun" w:cs="Tahoma"/>
          <w:noProof/>
          <w:lang w:val="es-CO" w:eastAsia="ja-JP"/>
        </w:rPr>
        <w:t xml:space="preserve"> la integración de las acciones en un solo proceso, mediante la participación en 37 conflictos negativos de competencia que se han suscitado por el conocimiento de los mismos.</w:t>
      </w:r>
    </w:p>
    <w:p w14:paraId="1878B40C" w14:textId="77777777" w:rsidR="003B41C3" w:rsidRDefault="003B41C3" w:rsidP="003B41C3">
      <w:pPr>
        <w:pStyle w:val="Prrafodelista"/>
        <w:spacing w:line="264" w:lineRule="auto"/>
        <w:ind w:left="1134" w:right="-283"/>
        <w:jc w:val="both"/>
        <w:rPr>
          <w:rFonts w:eastAsia="SimSun" w:cs="Tahoma"/>
          <w:noProof/>
          <w:lang w:val="es-CO" w:eastAsia="ja-JP"/>
        </w:rPr>
      </w:pPr>
    </w:p>
    <w:p w14:paraId="699FFF1B" w14:textId="77777777" w:rsidR="003B41C3" w:rsidRPr="0038349F" w:rsidRDefault="003B41C3" w:rsidP="003B41C3">
      <w:pPr>
        <w:pStyle w:val="Prrafodelista"/>
        <w:spacing w:line="264" w:lineRule="auto"/>
        <w:ind w:left="1134" w:right="-283"/>
        <w:jc w:val="both"/>
        <w:rPr>
          <w:rFonts w:eastAsia="SimSun" w:cs="Tahoma"/>
          <w:noProof/>
          <w:lang w:val="es-CO" w:eastAsia="ja-JP"/>
        </w:rPr>
      </w:pPr>
      <w:r w:rsidRPr="0038349F">
        <w:rPr>
          <w:rFonts w:eastAsia="SimSun" w:cs="Tahoma"/>
          <w:noProof/>
          <w:lang w:val="es-CO" w:eastAsia="ja-JP"/>
        </w:rPr>
        <w:t xml:space="preserve">Adicionalmente ha intervenido en la acción de grupo contra </w:t>
      </w:r>
      <w:r w:rsidR="00C15372">
        <w:rPr>
          <w:rFonts w:eastAsia="SimSun" w:cs="Tahoma"/>
          <w:noProof/>
          <w:lang w:val="es-CO" w:eastAsia="ja-JP"/>
        </w:rPr>
        <w:t>Ministerio de Minas y Energía</w:t>
      </w:r>
      <w:r w:rsidRPr="0038349F">
        <w:rPr>
          <w:rFonts w:eastAsia="SimSun" w:cs="Tahoma"/>
          <w:noProof/>
          <w:lang w:val="es-CO" w:eastAsia="ja-JP"/>
        </w:rPr>
        <w:t xml:space="preserve">, </w:t>
      </w:r>
      <w:r w:rsidR="00C15372">
        <w:rPr>
          <w:rFonts w:eastAsia="SimSun" w:cs="Tahoma"/>
          <w:noProof/>
          <w:lang w:val="es-CO" w:eastAsia="ja-JP"/>
        </w:rPr>
        <w:t>Ministerio de Hacienda y Crédito Público</w:t>
      </w:r>
      <w:r w:rsidRPr="0038349F">
        <w:rPr>
          <w:rFonts w:eastAsia="SimSun" w:cs="Tahoma"/>
          <w:noProof/>
          <w:lang w:val="es-CO" w:eastAsia="ja-JP"/>
        </w:rPr>
        <w:t xml:space="preserve"> e ISA por las emisiones de acciones de esta última</w:t>
      </w:r>
      <w:r>
        <w:rPr>
          <w:rFonts w:eastAsia="SimSun" w:cs="Tahoma"/>
          <w:noProof/>
          <w:lang w:val="es-CO" w:eastAsia="ja-JP"/>
        </w:rPr>
        <w:t xml:space="preserve">. La Agencia </w:t>
      </w:r>
      <w:r w:rsidRPr="0038349F">
        <w:rPr>
          <w:rFonts w:eastAsia="SimSun" w:cs="Tahoma"/>
          <w:noProof/>
          <w:lang w:val="es-CO" w:eastAsia="ja-JP"/>
        </w:rPr>
        <w:t>coadyuva la oposición a un recurso de reposición interpuesto por la parte actora en contra del auto que decretó la caducidad de la acción y terminación del proceso.</w:t>
      </w:r>
    </w:p>
    <w:p w14:paraId="3A0AAB57" w14:textId="77777777" w:rsidR="003B41C3" w:rsidRDefault="003B41C3" w:rsidP="003B41C3">
      <w:pPr>
        <w:pStyle w:val="Prrafodelista"/>
        <w:spacing w:line="264" w:lineRule="auto"/>
        <w:ind w:left="1134" w:right="-283"/>
        <w:jc w:val="both"/>
        <w:rPr>
          <w:rFonts w:eastAsia="SimSun" w:cs="Tahoma"/>
          <w:noProof/>
          <w:lang w:val="es-CO" w:eastAsia="ja-JP"/>
        </w:rPr>
      </w:pPr>
    </w:p>
    <w:p w14:paraId="3B8E49F2" w14:textId="1E44D7DF" w:rsidR="00BF1F8F" w:rsidRPr="00BF1F8F" w:rsidRDefault="003B41C3" w:rsidP="00BF1F8F">
      <w:pPr>
        <w:pStyle w:val="Prrafodelista"/>
        <w:spacing w:line="264" w:lineRule="auto"/>
        <w:ind w:left="1134" w:right="-283"/>
        <w:jc w:val="both"/>
        <w:rPr>
          <w:rFonts w:eastAsia="SimSun" w:cs="Tahoma"/>
          <w:noProof/>
          <w:lang w:val="es-CO" w:eastAsia="ja-JP"/>
        </w:rPr>
      </w:pPr>
      <w:r w:rsidRPr="0038349F">
        <w:rPr>
          <w:rFonts w:eastAsia="SimSun" w:cs="Tahoma"/>
          <w:noProof/>
          <w:lang w:val="es-CO" w:eastAsia="ja-JP"/>
        </w:rPr>
        <w:t>Igualmente la Agencia intervendrá en la acción de grupo iniciada en contra de la SIC (tarifa fijo-móvil”) una vez se corra traslado del dictamen pericial decretado y practicado.</w:t>
      </w:r>
    </w:p>
    <w:p w14:paraId="522FE896" w14:textId="77777777" w:rsidR="003B41C3" w:rsidRPr="0038349F" w:rsidRDefault="003B41C3" w:rsidP="003B41C3">
      <w:pPr>
        <w:pStyle w:val="Prrafodelista"/>
        <w:spacing w:line="264" w:lineRule="auto"/>
        <w:ind w:left="1134" w:right="-283"/>
        <w:jc w:val="both"/>
        <w:rPr>
          <w:rFonts w:eastAsia="SimSun" w:cs="Tahoma"/>
          <w:noProof/>
          <w:lang w:val="es-CO" w:eastAsia="ja-JP"/>
        </w:rPr>
      </w:pPr>
    </w:p>
    <w:p w14:paraId="12FAA4BA" w14:textId="77777777" w:rsidR="003B41C3" w:rsidRPr="00E46994" w:rsidRDefault="003B41C3" w:rsidP="003B41C3">
      <w:pPr>
        <w:pStyle w:val="Prrafodelista"/>
        <w:numPr>
          <w:ilvl w:val="2"/>
          <w:numId w:val="63"/>
        </w:numPr>
        <w:spacing w:line="264" w:lineRule="auto"/>
        <w:ind w:right="-283"/>
        <w:jc w:val="both"/>
        <w:rPr>
          <w:rFonts w:eastAsia="SimSun" w:cs="Tahoma"/>
          <w:b/>
          <w:noProof/>
          <w:lang w:val="es-CO" w:eastAsia="ja-JP"/>
        </w:rPr>
      </w:pPr>
      <w:r w:rsidRPr="00E46994">
        <w:rPr>
          <w:rFonts w:eastAsia="SimSun" w:cs="Tahoma"/>
          <w:b/>
          <w:noProof/>
          <w:lang w:val="es-CO" w:eastAsia="ja-JP"/>
        </w:rPr>
        <w:t>Resumen de la intervención de la Agencia en los 25 procesos más costosos.</w:t>
      </w:r>
    </w:p>
    <w:p w14:paraId="348E2C11" w14:textId="77777777" w:rsidR="003B41C3" w:rsidRPr="00E46994" w:rsidRDefault="003B41C3" w:rsidP="003B41C3">
      <w:pPr>
        <w:pStyle w:val="Prrafodelista"/>
        <w:spacing w:line="264" w:lineRule="auto"/>
        <w:ind w:left="780" w:right="-283"/>
        <w:jc w:val="both"/>
        <w:rPr>
          <w:rFonts w:eastAsia="SimSun" w:cs="Tahoma"/>
          <w:b/>
          <w:noProof/>
          <w:lang w:val="es-CO" w:eastAsia="ja-JP"/>
        </w:rPr>
      </w:pPr>
    </w:p>
    <w:p w14:paraId="4D3D605E" w14:textId="77777777" w:rsidR="003B41C3" w:rsidRPr="00BF1F8F" w:rsidRDefault="003B41C3" w:rsidP="00BF1F8F">
      <w:pPr>
        <w:spacing w:line="264" w:lineRule="auto"/>
        <w:ind w:right="-283"/>
        <w:contextualSpacing/>
        <w:jc w:val="center"/>
        <w:rPr>
          <w:rFonts w:eastAsia="SimSun" w:cs="Tahoma"/>
          <w:b/>
          <w:noProof/>
          <w:lang w:val="es-CO" w:eastAsia="ja-JP"/>
        </w:rPr>
      </w:pPr>
      <w:r w:rsidRPr="00BF1F8F">
        <w:rPr>
          <w:rFonts w:eastAsia="SimSun" w:cs="Tahoma"/>
          <w:b/>
          <w:noProof/>
          <w:lang w:val="es-CO" w:eastAsia="ja-JP"/>
        </w:rPr>
        <w:lastRenderedPageBreak/>
        <w:t>A continuación, se resumen las gestiones realizadas por la Agencia en los 25 procesos más cuantiosos contra el Estado: (Tabla 7)</w:t>
      </w:r>
    </w:p>
    <w:p w14:paraId="46A6C7F8" w14:textId="77777777" w:rsidR="003B41C3" w:rsidRPr="00E46994" w:rsidRDefault="003B41C3" w:rsidP="003B41C3">
      <w:pPr>
        <w:spacing w:line="264" w:lineRule="auto"/>
        <w:ind w:right="-283"/>
        <w:contextualSpacing/>
        <w:jc w:val="both"/>
        <w:rPr>
          <w:rFonts w:eastAsia="SimSun" w:cs="Tahoma"/>
          <w:b/>
          <w:noProof/>
          <w:sz w:val="20"/>
          <w:szCs w:val="20"/>
          <w:lang w:val="es-CO" w:eastAsia="ja-JP"/>
        </w:rPr>
      </w:pPr>
    </w:p>
    <w:p w14:paraId="07525C6C" w14:textId="77777777" w:rsidR="003B41C3" w:rsidRPr="00E46994" w:rsidRDefault="003B41C3" w:rsidP="003B41C3">
      <w:pPr>
        <w:spacing w:line="264" w:lineRule="auto"/>
        <w:ind w:right="-283"/>
        <w:contextualSpacing/>
        <w:jc w:val="center"/>
        <w:rPr>
          <w:rFonts w:eastAsia="SimSun" w:cs="Tahoma"/>
          <w:b/>
          <w:noProof/>
          <w:sz w:val="20"/>
          <w:szCs w:val="20"/>
          <w:lang w:val="es-CO" w:eastAsia="ja-JP"/>
        </w:rPr>
      </w:pPr>
      <w:r>
        <w:rPr>
          <w:rFonts w:eastAsia="SimSun" w:cs="Tahoma"/>
          <w:b/>
          <w:noProof/>
          <w:sz w:val="20"/>
          <w:szCs w:val="20"/>
          <w:lang w:val="es-CO" w:eastAsia="ja-JP"/>
        </w:rPr>
        <w:t>Tabla 7</w:t>
      </w:r>
    </w:p>
    <w:tbl>
      <w:tblPr>
        <w:tblStyle w:val="Tablaconcuadrcula1"/>
        <w:tblW w:w="8789" w:type="dxa"/>
        <w:tblInd w:w="137" w:type="dxa"/>
        <w:tblLook w:val="04A0" w:firstRow="1" w:lastRow="0" w:firstColumn="1" w:lastColumn="0" w:noHBand="0" w:noVBand="1"/>
      </w:tblPr>
      <w:tblGrid>
        <w:gridCol w:w="453"/>
        <w:gridCol w:w="1700"/>
        <w:gridCol w:w="2525"/>
        <w:gridCol w:w="2126"/>
        <w:gridCol w:w="1985"/>
      </w:tblGrid>
      <w:tr w:rsidR="003B41C3" w:rsidRPr="00C65C55" w14:paraId="697F25BD" w14:textId="77777777" w:rsidTr="003B41C3">
        <w:tc>
          <w:tcPr>
            <w:tcW w:w="45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06137" w14:textId="77777777" w:rsidR="003B41C3" w:rsidRPr="00414802" w:rsidRDefault="003B41C3" w:rsidP="003B41C3">
            <w:pPr>
              <w:jc w:val="center"/>
              <w:rPr>
                <w:b/>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8E6DD8" w14:textId="77777777" w:rsidR="003B41C3" w:rsidRPr="00414802" w:rsidRDefault="003B41C3" w:rsidP="003B41C3">
            <w:pPr>
              <w:jc w:val="center"/>
              <w:rPr>
                <w:b/>
                <w:sz w:val="18"/>
                <w:szCs w:val="18"/>
              </w:rPr>
            </w:pPr>
            <w:r w:rsidRPr="00414802">
              <w:rPr>
                <w:b/>
                <w:sz w:val="18"/>
                <w:szCs w:val="18"/>
              </w:rPr>
              <w:t>ACCIÓN</w:t>
            </w:r>
          </w:p>
          <w:p w14:paraId="5D18E2D7" w14:textId="77777777" w:rsidR="003B41C3" w:rsidRPr="00414802" w:rsidRDefault="003B41C3" w:rsidP="003B41C3">
            <w:pPr>
              <w:jc w:val="center"/>
              <w:rPr>
                <w:b/>
                <w:sz w:val="18"/>
                <w:szCs w:val="18"/>
              </w:rPr>
            </w:pPr>
          </w:p>
        </w:tc>
        <w:tc>
          <w:tcPr>
            <w:tcW w:w="252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C33730" w14:textId="77777777" w:rsidR="003B41C3" w:rsidRPr="00414802" w:rsidRDefault="003B41C3" w:rsidP="003B41C3">
            <w:pPr>
              <w:jc w:val="center"/>
              <w:rPr>
                <w:b/>
                <w:sz w:val="18"/>
                <w:szCs w:val="18"/>
              </w:rPr>
            </w:pPr>
            <w:r w:rsidRPr="00414802">
              <w:rPr>
                <w:b/>
                <w:sz w:val="18"/>
                <w:szCs w:val="18"/>
              </w:rPr>
              <w:t>DEMANDADO</w:t>
            </w:r>
          </w:p>
        </w:tc>
        <w:tc>
          <w:tcPr>
            <w:tcW w:w="212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28E130" w14:textId="77777777" w:rsidR="003B41C3" w:rsidRPr="00414802" w:rsidRDefault="003B41C3" w:rsidP="003B41C3">
            <w:pPr>
              <w:jc w:val="center"/>
              <w:rPr>
                <w:b/>
                <w:sz w:val="18"/>
                <w:szCs w:val="18"/>
              </w:rPr>
            </w:pPr>
            <w:r w:rsidRPr="00414802">
              <w:rPr>
                <w:b/>
                <w:sz w:val="18"/>
                <w:szCs w:val="18"/>
              </w:rPr>
              <w:t>CUANTÍA</w:t>
            </w:r>
          </w:p>
        </w:tc>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53C37B" w14:textId="77777777" w:rsidR="003B41C3" w:rsidRPr="00414802" w:rsidRDefault="003B41C3" w:rsidP="003B41C3">
            <w:pPr>
              <w:jc w:val="center"/>
              <w:rPr>
                <w:b/>
                <w:sz w:val="18"/>
                <w:szCs w:val="18"/>
              </w:rPr>
            </w:pPr>
            <w:r w:rsidRPr="00414802">
              <w:rPr>
                <w:b/>
                <w:sz w:val="18"/>
                <w:szCs w:val="18"/>
              </w:rPr>
              <w:t>GESTIÓN</w:t>
            </w:r>
          </w:p>
        </w:tc>
      </w:tr>
      <w:tr w:rsidR="003B41C3" w:rsidRPr="00C65C55" w14:paraId="53324927"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4DD7BE9E" w14:textId="77777777" w:rsidR="003B41C3" w:rsidRPr="00414802" w:rsidRDefault="003B41C3" w:rsidP="003B41C3">
            <w:pPr>
              <w:spacing w:line="0" w:lineRule="atLeast"/>
              <w:rPr>
                <w:b/>
                <w:sz w:val="18"/>
                <w:szCs w:val="18"/>
              </w:rPr>
            </w:pPr>
            <w:r w:rsidRPr="00414802">
              <w:rPr>
                <w:b/>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14:paraId="68B89002" w14:textId="77777777" w:rsidR="003B41C3" w:rsidRPr="00414802" w:rsidRDefault="003B41C3" w:rsidP="003B41C3">
            <w:pPr>
              <w:spacing w:line="0" w:lineRule="atLeast"/>
              <w:rPr>
                <w:sz w:val="18"/>
                <w:szCs w:val="18"/>
              </w:rPr>
            </w:pPr>
            <w:r w:rsidRPr="00414802">
              <w:rPr>
                <w:sz w:val="18"/>
                <w:szCs w:val="18"/>
              </w:rPr>
              <w:t xml:space="preserve">Acción de Grupo </w:t>
            </w:r>
          </w:p>
        </w:tc>
        <w:tc>
          <w:tcPr>
            <w:tcW w:w="2525" w:type="dxa"/>
            <w:tcBorders>
              <w:top w:val="single" w:sz="4" w:space="0" w:color="auto"/>
              <w:left w:val="single" w:sz="4" w:space="0" w:color="auto"/>
              <w:bottom w:val="single" w:sz="4" w:space="0" w:color="auto"/>
              <w:right w:val="single" w:sz="4" w:space="0" w:color="auto"/>
            </w:tcBorders>
            <w:hideMark/>
          </w:tcPr>
          <w:p w14:paraId="0B798A0D" w14:textId="77777777" w:rsidR="003B41C3" w:rsidRPr="00414802" w:rsidRDefault="003B41C3" w:rsidP="003B41C3">
            <w:pPr>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hideMark/>
          </w:tcPr>
          <w:p w14:paraId="50B1C8B9" w14:textId="77777777" w:rsidR="003B41C3" w:rsidRPr="00414802" w:rsidRDefault="003B41C3" w:rsidP="003B41C3">
            <w:pPr>
              <w:rPr>
                <w:sz w:val="18"/>
                <w:szCs w:val="18"/>
              </w:rPr>
            </w:pPr>
            <w:r w:rsidRPr="00414802">
              <w:rPr>
                <w:sz w:val="18"/>
                <w:szCs w:val="18"/>
              </w:rPr>
              <w:t>$6.708.960.000.000</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6E3D4B" w14:textId="77777777" w:rsidR="003B41C3" w:rsidRPr="00414802" w:rsidRDefault="003B41C3" w:rsidP="003B41C3">
            <w:pPr>
              <w:rPr>
                <w:sz w:val="18"/>
                <w:szCs w:val="18"/>
              </w:rPr>
            </w:pPr>
            <w:r w:rsidRPr="00414802">
              <w:rPr>
                <w:sz w:val="18"/>
                <w:szCs w:val="18"/>
              </w:rPr>
              <w:t>Mesa Interinstitucional</w:t>
            </w:r>
          </w:p>
        </w:tc>
      </w:tr>
      <w:tr w:rsidR="003B41C3" w:rsidRPr="00C65C55" w14:paraId="2009FD16"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4B2D2E04" w14:textId="77777777" w:rsidR="003B41C3" w:rsidRPr="00414802" w:rsidRDefault="003B41C3" w:rsidP="003B41C3">
            <w:pPr>
              <w:spacing w:line="0" w:lineRule="atLeast"/>
              <w:jc w:val="both"/>
              <w:rPr>
                <w:b/>
                <w:sz w:val="18"/>
                <w:szCs w:val="18"/>
              </w:rPr>
            </w:pPr>
            <w:r w:rsidRPr="00414802">
              <w:rPr>
                <w:b/>
                <w:sz w:val="18"/>
                <w:szCs w:val="18"/>
              </w:rPr>
              <w:t>2</w:t>
            </w:r>
          </w:p>
        </w:tc>
        <w:tc>
          <w:tcPr>
            <w:tcW w:w="1700" w:type="dxa"/>
            <w:tcBorders>
              <w:top w:val="single" w:sz="4" w:space="0" w:color="auto"/>
              <w:left w:val="single" w:sz="4" w:space="0" w:color="auto"/>
              <w:bottom w:val="single" w:sz="4" w:space="0" w:color="auto"/>
              <w:right w:val="single" w:sz="4" w:space="0" w:color="auto"/>
            </w:tcBorders>
            <w:hideMark/>
          </w:tcPr>
          <w:p w14:paraId="1F4B28EB" w14:textId="77777777" w:rsidR="003B41C3" w:rsidRPr="00414802" w:rsidRDefault="003B41C3" w:rsidP="003B41C3">
            <w:pPr>
              <w:spacing w:line="0" w:lineRule="atLeast"/>
              <w:jc w:val="both"/>
              <w:rPr>
                <w:sz w:val="18"/>
                <w:szCs w:val="18"/>
              </w:rPr>
            </w:pPr>
            <w:r w:rsidRPr="00414802">
              <w:rPr>
                <w:sz w:val="18"/>
                <w:szCs w:val="18"/>
              </w:rPr>
              <w:t>Acción Reparación Directa</w:t>
            </w:r>
          </w:p>
        </w:tc>
        <w:tc>
          <w:tcPr>
            <w:tcW w:w="2525" w:type="dxa"/>
            <w:tcBorders>
              <w:top w:val="single" w:sz="4" w:space="0" w:color="auto"/>
              <w:left w:val="single" w:sz="4" w:space="0" w:color="auto"/>
              <w:bottom w:val="single" w:sz="4" w:space="0" w:color="auto"/>
              <w:right w:val="single" w:sz="4" w:space="0" w:color="auto"/>
            </w:tcBorders>
            <w:hideMark/>
          </w:tcPr>
          <w:p w14:paraId="216D9491" w14:textId="77777777" w:rsidR="003B41C3" w:rsidRPr="00414802" w:rsidRDefault="003B41C3" w:rsidP="003B41C3">
            <w:pPr>
              <w:rPr>
                <w:sz w:val="18"/>
                <w:szCs w:val="18"/>
              </w:rPr>
            </w:pPr>
            <w:r w:rsidRPr="00414802">
              <w:rPr>
                <w:sz w:val="18"/>
                <w:szCs w:val="18"/>
              </w:rPr>
              <w:t>Superintendencia de Industria y Comercio</w:t>
            </w:r>
          </w:p>
        </w:tc>
        <w:tc>
          <w:tcPr>
            <w:tcW w:w="2126" w:type="dxa"/>
            <w:tcBorders>
              <w:top w:val="single" w:sz="4" w:space="0" w:color="auto"/>
              <w:left w:val="single" w:sz="4" w:space="0" w:color="auto"/>
              <w:bottom w:val="single" w:sz="4" w:space="0" w:color="auto"/>
              <w:right w:val="single" w:sz="4" w:space="0" w:color="auto"/>
            </w:tcBorders>
            <w:hideMark/>
          </w:tcPr>
          <w:p w14:paraId="03E94650" w14:textId="77777777" w:rsidR="003B41C3" w:rsidRPr="00414802" w:rsidRDefault="003B41C3" w:rsidP="003B41C3">
            <w:pPr>
              <w:rPr>
                <w:sz w:val="18"/>
                <w:szCs w:val="18"/>
              </w:rPr>
            </w:pPr>
            <w:r w:rsidRPr="00414802">
              <w:rPr>
                <w:sz w:val="18"/>
                <w:szCs w:val="18"/>
              </w:rPr>
              <w:t>$6.116.470.038.734</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73B110E" w14:textId="77777777" w:rsidR="003B41C3" w:rsidRPr="00414802" w:rsidRDefault="003B41C3" w:rsidP="003B41C3">
            <w:pPr>
              <w:rPr>
                <w:sz w:val="18"/>
                <w:szCs w:val="18"/>
              </w:rPr>
            </w:pPr>
            <w:r w:rsidRPr="00414802">
              <w:rPr>
                <w:sz w:val="18"/>
                <w:szCs w:val="18"/>
              </w:rPr>
              <w:t>Intervención procesal</w:t>
            </w:r>
          </w:p>
        </w:tc>
      </w:tr>
      <w:tr w:rsidR="003B41C3" w:rsidRPr="00C65C55" w14:paraId="6830AEA4"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A3EF4E8" w14:textId="77777777" w:rsidR="003B41C3" w:rsidRPr="00414802" w:rsidRDefault="003B41C3" w:rsidP="003B41C3">
            <w:pPr>
              <w:rPr>
                <w:b/>
                <w:sz w:val="18"/>
                <w:szCs w:val="18"/>
              </w:rPr>
            </w:pPr>
            <w:r w:rsidRPr="00414802">
              <w:rPr>
                <w:b/>
                <w:sz w:val="18"/>
                <w:szCs w:val="18"/>
              </w:rPr>
              <w:t>3</w:t>
            </w:r>
          </w:p>
        </w:tc>
        <w:tc>
          <w:tcPr>
            <w:tcW w:w="1700" w:type="dxa"/>
            <w:tcBorders>
              <w:top w:val="single" w:sz="4" w:space="0" w:color="auto"/>
              <w:left w:val="single" w:sz="4" w:space="0" w:color="auto"/>
              <w:bottom w:val="single" w:sz="4" w:space="0" w:color="auto"/>
              <w:right w:val="single" w:sz="4" w:space="0" w:color="auto"/>
            </w:tcBorders>
            <w:hideMark/>
          </w:tcPr>
          <w:p w14:paraId="1C463FCD" w14:textId="77777777" w:rsidR="003B41C3" w:rsidRPr="00414802" w:rsidRDefault="003B41C3" w:rsidP="003B41C3">
            <w:pPr>
              <w:spacing w:line="0" w:lineRule="atLeast"/>
              <w:jc w:val="both"/>
              <w:rPr>
                <w:sz w:val="18"/>
                <w:szCs w:val="18"/>
              </w:rPr>
            </w:pPr>
            <w:r w:rsidRPr="00414802">
              <w:rPr>
                <w:sz w:val="18"/>
                <w:szCs w:val="18"/>
              </w:rPr>
              <w:t>Acción de Grupo</w:t>
            </w:r>
          </w:p>
        </w:tc>
        <w:tc>
          <w:tcPr>
            <w:tcW w:w="2525" w:type="dxa"/>
            <w:tcBorders>
              <w:top w:val="single" w:sz="4" w:space="0" w:color="auto"/>
              <w:left w:val="single" w:sz="4" w:space="0" w:color="auto"/>
              <w:bottom w:val="single" w:sz="4" w:space="0" w:color="auto"/>
              <w:right w:val="single" w:sz="4" w:space="0" w:color="auto"/>
            </w:tcBorders>
            <w:hideMark/>
          </w:tcPr>
          <w:p w14:paraId="4E0A54F1" w14:textId="77777777" w:rsidR="003B41C3" w:rsidRPr="00414802" w:rsidRDefault="00C15372" w:rsidP="003B41C3">
            <w:pPr>
              <w:rPr>
                <w:sz w:val="18"/>
                <w:szCs w:val="18"/>
              </w:rPr>
            </w:pPr>
            <w:r>
              <w:rPr>
                <w:sz w:val="18"/>
                <w:szCs w:val="18"/>
              </w:rPr>
              <w:t>Ministerio de Minas y Energía</w:t>
            </w:r>
            <w:r w:rsidR="003B41C3" w:rsidRPr="00414802">
              <w:rPr>
                <w:sz w:val="18"/>
                <w:szCs w:val="18"/>
              </w:rPr>
              <w:t xml:space="preserve">, </w:t>
            </w:r>
            <w:r>
              <w:rPr>
                <w:sz w:val="18"/>
                <w:szCs w:val="18"/>
              </w:rPr>
              <w:t>Ministerio de Hacienda y Crédito Público</w:t>
            </w:r>
            <w:r w:rsidR="003B41C3" w:rsidRPr="00414802">
              <w:rPr>
                <w:sz w:val="18"/>
                <w:szCs w:val="18"/>
              </w:rPr>
              <w:t>, ISA</w:t>
            </w:r>
          </w:p>
        </w:tc>
        <w:tc>
          <w:tcPr>
            <w:tcW w:w="2126" w:type="dxa"/>
            <w:tcBorders>
              <w:top w:val="single" w:sz="4" w:space="0" w:color="auto"/>
              <w:left w:val="single" w:sz="4" w:space="0" w:color="auto"/>
              <w:bottom w:val="single" w:sz="4" w:space="0" w:color="auto"/>
              <w:right w:val="single" w:sz="4" w:space="0" w:color="auto"/>
            </w:tcBorders>
            <w:hideMark/>
          </w:tcPr>
          <w:p w14:paraId="7D69879A" w14:textId="77777777" w:rsidR="003B41C3" w:rsidRPr="00414802" w:rsidRDefault="003B41C3" w:rsidP="003B41C3">
            <w:pPr>
              <w:rPr>
                <w:sz w:val="18"/>
                <w:szCs w:val="18"/>
              </w:rPr>
            </w:pPr>
            <w:r w:rsidRPr="00414802">
              <w:rPr>
                <w:sz w:val="18"/>
                <w:szCs w:val="18"/>
              </w:rPr>
              <w:t>$6.049.352.056.687</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8407EB" w14:textId="77777777" w:rsidR="003B41C3" w:rsidRPr="00414802" w:rsidRDefault="003B41C3" w:rsidP="003B41C3">
            <w:pPr>
              <w:rPr>
                <w:sz w:val="18"/>
                <w:szCs w:val="18"/>
              </w:rPr>
            </w:pPr>
            <w:r w:rsidRPr="00414802">
              <w:rPr>
                <w:sz w:val="18"/>
                <w:szCs w:val="18"/>
              </w:rPr>
              <w:t>Intervención procesal</w:t>
            </w:r>
          </w:p>
        </w:tc>
      </w:tr>
      <w:tr w:rsidR="003B41C3" w:rsidRPr="00C65C55" w14:paraId="4831D2FE"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EA8B57A" w14:textId="77777777" w:rsidR="003B41C3" w:rsidRPr="00414802" w:rsidRDefault="003B41C3" w:rsidP="003B41C3">
            <w:pPr>
              <w:rPr>
                <w:b/>
                <w:sz w:val="18"/>
                <w:szCs w:val="18"/>
              </w:rPr>
            </w:pPr>
            <w:r w:rsidRPr="00414802">
              <w:rPr>
                <w:b/>
                <w:sz w:val="18"/>
                <w:szCs w:val="18"/>
              </w:rPr>
              <w:t>4</w:t>
            </w:r>
          </w:p>
        </w:tc>
        <w:tc>
          <w:tcPr>
            <w:tcW w:w="1700" w:type="dxa"/>
            <w:tcBorders>
              <w:top w:val="single" w:sz="4" w:space="0" w:color="auto"/>
              <w:left w:val="single" w:sz="4" w:space="0" w:color="auto"/>
              <w:bottom w:val="single" w:sz="4" w:space="0" w:color="auto"/>
              <w:right w:val="single" w:sz="4" w:space="0" w:color="auto"/>
            </w:tcBorders>
          </w:tcPr>
          <w:p w14:paraId="1946D261" w14:textId="77777777" w:rsidR="003B41C3" w:rsidRPr="00414802" w:rsidRDefault="003B41C3" w:rsidP="003B41C3">
            <w:pPr>
              <w:spacing w:line="0" w:lineRule="atLeast"/>
              <w:rPr>
                <w:sz w:val="18"/>
                <w:szCs w:val="18"/>
              </w:rPr>
            </w:pPr>
            <w:r w:rsidRPr="00414802">
              <w:rPr>
                <w:sz w:val="18"/>
                <w:szCs w:val="18"/>
              </w:rPr>
              <w:t xml:space="preserve">Acción de Grupo </w:t>
            </w:r>
          </w:p>
          <w:p w14:paraId="4D018A89" w14:textId="77777777" w:rsidR="003B41C3" w:rsidRPr="00414802" w:rsidRDefault="003B41C3" w:rsidP="003B41C3">
            <w:pPr>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4F2C858E" w14:textId="77777777" w:rsidR="003B41C3" w:rsidRPr="00414802" w:rsidRDefault="003B41C3" w:rsidP="003B41C3">
            <w:pPr>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hideMark/>
          </w:tcPr>
          <w:p w14:paraId="7A0C85FA" w14:textId="77777777" w:rsidR="003B41C3" w:rsidRPr="00414802" w:rsidRDefault="003B41C3" w:rsidP="003B41C3">
            <w:pPr>
              <w:rPr>
                <w:sz w:val="18"/>
                <w:szCs w:val="18"/>
              </w:rPr>
            </w:pPr>
            <w:r w:rsidRPr="00414802">
              <w:rPr>
                <w:sz w:val="18"/>
                <w:szCs w:val="18"/>
              </w:rPr>
              <w:t>$5.481.010.000.000</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7CCF84" w14:textId="77777777" w:rsidR="003B41C3" w:rsidRPr="00414802" w:rsidRDefault="003B41C3" w:rsidP="003B41C3">
            <w:pPr>
              <w:rPr>
                <w:sz w:val="18"/>
                <w:szCs w:val="18"/>
              </w:rPr>
            </w:pPr>
            <w:r w:rsidRPr="00414802">
              <w:rPr>
                <w:sz w:val="18"/>
                <w:szCs w:val="18"/>
              </w:rPr>
              <w:t>Mesa Interinstitucional</w:t>
            </w:r>
          </w:p>
        </w:tc>
      </w:tr>
      <w:tr w:rsidR="003B41C3" w:rsidRPr="00C65C55" w14:paraId="05B910E8"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A784486" w14:textId="77777777" w:rsidR="003B41C3" w:rsidRPr="00414802" w:rsidRDefault="003B41C3" w:rsidP="003B41C3">
            <w:pPr>
              <w:rPr>
                <w:b/>
                <w:sz w:val="18"/>
                <w:szCs w:val="18"/>
              </w:rPr>
            </w:pPr>
            <w:r w:rsidRPr="00414802">
              <w:rPr>
                <w:b/>
                <w:sz w:val="18"/>
                <w:szCs w:val="18"/>
              </w:rPr>
              <w:t>5</w:t>
            </w:r>
          </w:p>
        </w:tc>
        <w:tc>
          <w:tcPr>
            <w:tcW w:w="1700" w:type="dxa"/>
            <w:tcBorders>
              <w:top w:val="single" w:sz="4" w:space="0" w:color="auto"/>
              <w:left w:val="single" w:sz="4" w:space="0" w:color="auto"/>
              <w:bottom w:val="single" w:sz="4" w:space="0" w:color="auto"/>
              <w:right w:val="single" w:sz="4" w:space="0" w:color="auto"/>
            </w:tcBorders>
          </w:tcPr>
          <w:p w14:paraId="32E991E3" w14:textId="77777777" w:rsidR="003B41C3" w:rsidRPr="00414802" w:rsidRDefault="003B41C3" w:rsidP="003B41C3">
            <w:pPr>
              <w:spacing w:line="0" w:lineRule="atLeast"/>
              <w:jc w:val="both"/>
              <w:rPr>
                <w:sz w:val="18"/>
                <w:szCs w:val="18"/>
              </w:rPr>
            </w:pPr>
            <w:r w:rsidRPr="00414802">
              <w:rPr>
                <w:sz w:val="18"/>
                <w:szCs w:val="18"/>
              </w:rPr>
              <w:t>Acción de Grupo</w:t>
            </w:r>
          </w:p>
          <w:p w14:paraId="458E76B3" w14:textId="77777777" w:rsidR="003B41C3" w:rsidRPr="00414802" w:rsidRDefault="003B41C3" w:rsidP="003B41C3">
            <w:pPr>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056C8494" w14:textId="77777777" w:rsidR="003B41C3" w:rsidRPr="00414802" w:rsidRDefault="003B41C3" w:rsidP="003B41C3">
            <w:pPr>
              <w:rPr>
                <w:sz w:val="18"/>
                <w:szCs w:val="18"/>
              </w:rPr>
            </w:pPr>
            <w:proofErr w:type="spellStart"/>
            <w:r w:rsidRPr="00414802">
              <w:rPr>
                <w:sz w:val="18"/>
                <w:szCs w:val="18"/>
              </w:rPr>
              <w:t>Cormagdalena</w:t>
            </w:r>
            <w:proofErr w:type="spellEnd"/>
            <w:r w:rsidRPr="00414802">
              <w:rPr>
                <w:sz w:val="18"/>
                <w:szCs w:val="18"/>
              </w:rPr>
              <w:t xml:space="preserve"> y Otros.</w:t>
            </w:r>
          </w:p>
        </w:tc>
        <w:tc>
          <w:tcPr>
            <w:tcW w:w="2126" w:type="dxa"/>
            <w:tcBorders>
              <w:top w:val="single" w:sz="4" w:space="0" w:color="auto"/>
              <w:left w:val="single" w:sz="4" w:space="0" w:color="auto"/>
              <w:bottom w:val="single" w:sz="4" w:space="0" w:color="auto"/>
              <w:right w:val="single" w:sz="4" w:space="0" w:color="auto"/>
            </w:tcBorders>
            <w:hideMark/>
          </w:tcPr>
          <w:p w14:paraId="2F26C32F" w14:textId="77777777" w:rsidR="003B41C3" w:rsidRPr="00414802" w:rsidRDefault="003B41C3" w:rsidP="003B41C3">
            <w:pPr>
              <w:rPr>
                <w:sz w:val="18"/>
                <w:szCs w:val="18"/>
              </w:rPr>
            </w:pPr>
            <w:r w:rsidRPr="00414802">
              <w:rPr>
                <w:sz w:val="18"/>
                <w:szCs w:val="18"/>
              </w:rPr>
              <w:t>$4.544.338.162.000</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1ABC5C" w14:textId="77777777" w:rsidR="003B41C3" w:rsidRPr="00414802" w:rsidRDefault="003B41C3" w:rsidP="003B41C3">
            <w:pPr>
              <w:rPr>
                <w:sz w:val="18"/>
                <w:szCs w:val="18"/>
              </w:rPr>
            </w:pPr>
            <w:r w:rsidRPr="00414802">
              <w:rPr>
                <w:sz w:val="18"/>
                <w:szCs w:val="18"/>
              </w:rPr>
              <w:t>Mesa Interinstitucional</w:t>
            </w:r>
          </w:p>
        </w:tc>
      </w:tr>
      <w:tr w:rsidR="003B41C3" w:rsidRPr="00C65C55" w14:paraId="66EFC560"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7CA54F2" w14:textId="77777777" w:rsidR="003B41C3" w:rsidRPr="00414802" w:rsidRDefault="003B41C3" w:rsidP="003B41C3">
            <w:pPr>
              <w:rPr>
                <w:b/>
                <w:sz w:val="18"/>
                <w:szCs w:val="18"/>
              </w:rPr>
            </w:pPr>
            <w:r w:rsidRPr="00414802">
              <w:rPr>
                <w:b/>
                <w:sz w:val="18"/>
                <w:szCs w:val="18"/>
              </w:rPr>
              <w:t>6</w:t>
            </w:r>
          </w:p>
        </w:tc>
        <w:tc>
          <w:tcPr>
            <w:tcW w:w="1700" w:type="dxa"/>
            <w:tcBorders>
              <w:top w:val="single" w:sz="4" w:space="0" w:color="auto"/>
              <w:left w:val="single" w:sz="4" w:space="0" w:color="auto"/>
              <w:bottom w:val="single" w:sz="4" w:space="0" w:color="auto"/>
              <w:right w:val="single" w:sz="4" w:space="0" w:color="auto"/>
            </w:tcBorders>
          </w:tcPr>
          <w:p w14:paraId="18299864" w14:textId="77777777" w:rsidR="003B41C3" w:rsidRPr="00414802" w:rsidRDefault="003B41C3" w:rsidP="003B41C3">
            <w:pPr>
              <w:spacing w:line="0" w:lineRule="atLeast"/>
              <w:rPr>
                <w:sz w:val="18"/>
                <w:szCs w:val="18"/>
              </w:rPr>
            </w:pPr>
            <w:r w:rsidRPr="00414802">
              <w:rPr>
                <w:sz w:val="18"/>
                <w:szCs w:val="18"/>
              </w:rPr>
              <w:t xml:space="preserve">Acción de Grupo </w:t>
            </w:r>
          </w:p>
          <w:p w14:paraId="0EC7EAF4" w14:textId="77777777" w:rsidR="003B41C3" w:rsidRPr="00414802" w:rsidRDefault="003B41C3" w:rsidP="003B41C3">
            <w:pPr>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268D5614" w14:textId="77777777" w:rsidR="003B41C3" w:rsidRPr="00414802" w:rsidRDefault="003B41C3" w:rsidP="003B41C3">
            <w:pPr>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hideMark/>
          </w:tcPr>
          <w:p w14:paraId="172C0307" w14:textId="77777777" w:rsidR="003B41C3" w:rsidRPr="00414802" w:rsidRDefault="003B41C3" w:rsidP="003B41C3">
            <w:pPr>
              <w:rPr>
                <w:sz w:val="18"/>
                <w:szCs w:val="18"/>
              </w:rPr>
            </w:pPr>
            <w:r w:rsidRPr="00414802">
              <w:rPr>
                <w:sz w:val="18"/>
                <w:szCs w:val="18"/>
              </w:rPr>
              <w:t>$4.414.710.366.720</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7CDB25" w14:textId="77777777" w:rsidR="003B41C3" w:rsidRPr="00414802" w:rsidRDefault="003B41C3" w:rsidP="003B41C3">
            <w:pPr>
              <w:rPr>
                <w:sz w:val="18"/>
                <w:szCs w:val="18"/>
              </w:rPr>
            </w:pPr>
            <w:r w:rsidRPr="00414802">
              <w:rPr>
                <w:sz w:val="18"/>
                <w:szCs w:val="18"/>
              </w:rPr>
              <w:t>Mesa Interinstitucional</w:t>
            </w:r>
          </w:p>
        </w:tc>
      </w:tr>
      <w:tr w:rsidR="003B41C3" w:rsidRPr="00C65C55" w14:paraId="65F5DF35"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1773D0CA" w14:textId="77777777" w:rsidR="003B41C3" w:rsidRPr="00414802" w:rsidRDefault="003B41C3" w:rsidP="003B41C3">
            <w:pPr>
              <w:rPr>
                <w:b/>
                <w:sz w:val="18"/>
                <w:szCs w:val="18"/>
              </w:rPr>
            </w:pPr>
            <w:r w:rsidRPr="00414802">
              <w:rPr>
                <w:b/>
                <w:sz w:val="18"/>
                <w:szCs w:val="18"/>
              </w:rPr>
              <w:t>7</w:t>
            </w:r>
          </w:p>
        </w:tc>
        <w:tc>
          <w:tcPr>
            <w:tcW w:w="1700" w:type="dxa"/>
            <w:tcBorders>
              <w:top w:val="single" w:sz="4" w:space="0" w:color="auto"/>
              <w:left w:val="single" w:sz="4" w:space="0" w:color="auto"/>
              <w:bottom w:val="single" w:sz="4" w:space="0" w:color="auto"/>
              <w:right w:val="single" w:sz="4" w:space="0" w:color="auto"/>
            </w:tcBorders>
          </w:tcPr>
          <w:p w14:paraId="511D91D9" w14:textId="77777777" w:rsidR="003B41C3" w:rsidRPr="00414802" w:rsidRDefault="003B41C3" w:rsidP="003B41C3">
            <w:pPr>
              <w:spacing w:line="0" w:lineRule="atLeast"/>
              <w:rPr>
                <w:sz w:val="18"/>
                <w:szCs w:val="18"/>
              </w:rPr>
            </w:pPr>
            <w:r w:rsidRPr="00414802">
              <w:rPr>
                <w:sz w:val="18"/>
                <w:szCs w:val="18"/>
              </w:rPr>
              <w:t xml:space="preserve">Acción de Grupo </w:t>
            </w:r>
          </w:p>
          <w:p w14:paraId="76712212" w14:textId="77777777" w:rsidR="003B41C3" w:rsidRPr="00414802" w:rsidRDefault="003B41C3" w:rsidP="003B41C3">
            <w:pPr>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6D35107C" w14:textId="77777777" w:rsidR="003B41C3" w:rsidRPr="00414802" w:rsidRDefault="003B41C3" w:rsidP="003B41C3">
            <w:pPr>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hideMark/>
          </w:tcPr>
          <w:p w14:paraId="27C6604E" w14:textId="77777777" w:rsidR="003B41C3" w:rsidRPr="00414802" w:rsidRDefault="003B41C3" w:rsidP="003B41C3">
            <w:pPr>
              <w:rPr>
                <w:sz w:val="18"/>
                <w:szCs w:val="18"/>
              </w:rPr>
            </w:pPr>
            <w:r w:rsidRPr="00414802">
              <w:rPr>
                <w:sz w:val="18"/>
                <w:szCs w:val="18"/>
              </w:rPr>
              <w:t>$3.355.003.957.364</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0696289" w14:textId="77777777" w:rsidR="003B41C3" w:rsidRPr="00414802" w:rsidRDefault="003B41C3" w:rsidP="003B41C3">
            <w:pPr>
              <w:rPr>
                <w:sz w:val="18"/>
                <w:szCs w:val="18"/>
              </w:rPr>
            </w:pPr>
            <w:r w:rsidRPr="00414802">
              <w:rPr>
                <w:sz w:val="18"/>
                <w:szCs w:val="18"/>
              </w:rPr>
              <w:t>Mesa Interinstitucional</w:t>
            </w:r>
          </w:p>
        </w:tc>
      </w:tr>
      <w:tr w:rsidR="003B41C3" w:rsidRPr="00C65C55" w14:paraId="54B11DD1"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480F25D" w14:textId="77777777" w:rsidR="003B41C3" w:rsidRPr="00414802" w:rsidRDefault="003B41C3" w:rsidP="003B41C3">
            <w:pPr>
              <w:rPr>
                <w:b/>
                <w:sz w:val="18"/>
                <w:szCs w:val="18"/>
              </w:rPr>
            </w:pPr>
            <w:r w:rsidRPr="00414802">
              <w:rPr>
                <w:b/>
                <w:sz w:val="18"/>
                <w:szCs w:val="18"/>
              </w:rPr>
              <w:t>8</w:t>
            </w:r>
          </w:p>
        </w:tc>
        <w:tc>
          <w:tcPr>
            <w:tcW w:w="1700" w:type="dxa"/>
            <w:tcBorders>
              <w:top w:val="single" w:sz="4" w:space="0" w:color="auto"/>
              <w:left w:val="single" w:sz="4" w:space="0" w:color="auto"/>
              <w:bottom w:val="single" w:sz="4" w:space="0" w:color="auto"/>
              <w:right w:val="single" w:sz="4" w:space="0" w:color="auto"/>
            </w:tcBorders>
          </w:tcPr>
          <w:p w14:paraId="01DE9030" w14:textId="77777777" w:rsidR="003B41C3" w:rsidRPr="00414802" w:rsidRDefault="003B41C3" w:rsidP="003B41C3">
            <w:pPr>
              <w:spacing w:line="0" w:lineRule="atLeast"/>
              <w:rPr>
                <w:sz w:val="18"/>
                <w:szCs w:val="18"/>
              </w:rPr>
            </w:pPr>
            <w:r w:rsidRPr="00414802">
              <w:rPr>
                <w:sz w:val="18"/>
                <w:szCs w:val="18"/>
              </w:rPr>
              <w:t xml:space="preserve">Acción de Grupo </w:t>
            </w:r>
          </w:p>
          <w:p w14:paraId="524E2FF8" w14:textId="77777777" w:rsidR="003B41C3" w:rsidRPr="00414802" w:rsidRDefault="003B41C3" w:rsidP="003B41C3">
            <w:pPr>
              <w:spacing w:line="0" w:lineRule="atLeast"/>
              <w:ind w:left="720"/>
              <w:contextualSpacing/>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1C930F38" w14:textId="77777777" w:rsidR="003B41C3" w:rsidRPr="00414802" w:rsidRDefault="003B41C3" w:rsidP="003B41C3">
            <w:pPr>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hideMark/>
          </w:tcPr>
          <w:p w14:paraId="50BBA4D2" w14:textId="77777777" w:rsidR="003B41C3" w:rsidRPr="00414802" w:rsidRDefault="003B41C3" w:rsidP="003B41C3">
            <w:pPr>
              <w:spacing w:line="0" w:lineRule="atLeast"/>
              <w:rPr>
                <w:sz w:val="18"/>
                <w:szCs w:val="18"/>
              </w:rPr>
            </w:pPr>
            <w:r w:rsidRPr="00414802">
              <w:rPr>
                <w:sz w:val="18"/>
                <w:szCs w:val="18"/>
              </w:rPr>
              <w:t>$2.795.400.000.000</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AEDF16" w14:textId="77777777" w:rsidR="003B41C3" w:rsidRPr="00414802" w:rsidRDefault="003B41C3" w:rsidP="003B41C3">
            <w:pPr>
              <w:spacing w:line="0" w:lineRule="atLeast"/>
              <w:rPr>
                <w:sz w:val="18"/>
                <w:szCs w:val="18"/>
              </w:rPr>
            </w:pPr>
            <w:r w:rsidRPr="00414802">
              <w:rPr>
                <w:sz w:val="18"/>
                <w:szCs w:val="18"/>
              </w:rPr>
              <w:t>Mesa Interinstitucional</w:t>
            </w:r>
          </w:p>
        </w:tc>
      </w:tr>
      <w:tr w:rsidR="003B41C3" w:rsidRPr="00C65C55" w14:paraId="68DE4662"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9D1B810" w14:textId="77777777" w:rsidR="003B41C3" w:rsidRPr="00414802" w:rsidRDefault="003B41C3" w:rsidP="003B41C3">
            <w:pPr>
              <w:rPr>
                <w:b/>
                <w:sz w:val="18"/>
                <w:szCs w:val="18"/>
              </w:rPr>
            </w:pPr>
            <w:r w:rsidRPr="00414802">
              <w:rPr>
                <w:b/>
                <w:sz w:val="18"/>
                <w:szCs w:val="18"/>
              </w:rPr>
              <w:t>9</w:t>
            </w:r>
          </w:p>
        </w:tc>
        <w:tc>
          <w:tcPr>
            <w:tcW w:w="1700" w:type="dxa"/>
            <w:tcBorders>
              <w:top w:val="single" w:sz="4" w:space="0" w:color="auto"/>
              <w:left w:val="single" w:sz="4" w:space="0" w:color="auto"/>
              <w:bottom w:val="single" w:sz="4" w:space="0" w:color="auto"/>
              <w:right w:val="single" w:sz="4" w:space="0" w:color="auto"/>
            </w:tcBorders>
          </w:tcPr>
          <w:p w14:paraId="6D8F0F2F" w14:textId="77777777" w:rsidR="003B41C3" w:rsidRPr="00414802" w:rsidRDefault="003B41C3" w:rsidP="003B41C3">
            <w:pPr>
              <w:spacing w:line="0" w:lineRule="atLeast"/>
              <w:rPr>
                <w:sz w:val="18"/>
                <w:szCs w:val="18"/>
              </w:rPr>
            </w:pPr>
            <w:r w:rsidRPr="00414802">
              <w:rPr>
                <w:sz w:val="18"/>
                <w:szCs w:val="18"/>
              </w:rPr>
              <w:t xml:space="preserve">Acción de Grupo </w:t>
            </w:r>
          </w:p>
          <w:p w14:paraId="244661F5" w14:textId="77777777" w:rsidR="003B41C3" w:rsidRPr="00414802" w:rsidRDefault="003B41C3" w:rsidP="003B41C3">
            <w:pPr>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3B28AC6D" w14:textId="77777777" w:rsidR="003B41C3" w:rsidRPr="00414802" w:rsidRDefault="003B41C3" w:rsidP="003B41C3">
            <w:pPr>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hideMark/>
          </w:tcPr>
          <w:p w14:paraId="226BA2D2" w14:textId="77777777" w:rsidR="003B41C3" w:rsidRPr="00414802" w:rsidRDefault="003B41C3" w:rsidP="003B41C3">
            <w:pPr>
              <w:jc w:val="both"/>
              <w:rPr>
                <w:sz w:val="18"/>
                <w:szCs w:val="18"/>
              </w:rPr>
            </w:pPr>
            <w:r w:rsidRPr="00414802">
              <w:rPr>
                <w:sz w:val="18"/>
                <w:szCs w:val="18"/>
              </w:rPr>
              <w:t>$2.236.584.601.382</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52283C" w14:textId="77777777" w:rsidR="003B41C3" w:rsidRPr="00414802" w:rsidRDefault="003B41C3" w:rsidP="003B41C3">
            <w:pPr>
              <w:jc w:val="both"/>
              <w:rPr>
                <w:sz w:val="18"/>
                <w:szCs w:val="18"/>
              </w:rPr>
            </w:pPr>
            <w:r w:rsidRPr="00414802">
              <w:rPr>
                <w:sz w:val="18"/>
                <w:szCs w:val="18"/>
              </w:rPr>
              <w:t>Mesa Interinstitucional</w:t>
            </w:r>
          </w:p>
        </w:tc>
      </w:tr>
      <w:tr w:rsidR="003B41C3" w:rsidRPr="00C65C55" w14:paraId="308EAFB1"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23F0D78" w14:textId="77777777" w:rsidR="003B41C3" w:rsidRPr="00414802" w:rsidRDefault="003B41C3" w:rsidP="003B41C3">
            <w:pPr>
              <w:rPr>
                <w:b/>
                <w:sz w:val="18"/>
                <w:szCs w:val="18"/>
              </w:rPr>
            </w:pPr>
            <w:r w:rsidRPr="00414802">
              <w:rPr>
                <w:b/>
                <w:sz w:val="18"/>
                <w:szCs w:val="18"/>
              </w:rPr>
              <w:t>10</w:t>
            </w:r>
          </w:p>
        </w:tc>
        <w:tc>
          <w:tcPr>
            <w:tcW w:w="1700" w:type="dxa"/>
            <w:tcBorders>
              <w:top w:val="single" w:sz="4" w:space="0" w:color="auto"/>
              <w:left w:val="single" w:sz="4" w:space="0" w:color="auto"/>
              <w:bottom w:val="single" w:sz="4" w:space="0" w:color="auto"/>
              <w:right w:val="single" w:sz="4" w:space="0" w:color="auto"/>
            </w:tcBorders>
          </w:tcPr>
          <w:p w14:paraId="37F495B4" w14:textId="77777777" w:rsidR="003B41C3" w:rsidRPr="00414802" w:rsidRDefault="003B41C3" w:rsidP="003B41C3">
            <w:pPr>
              <w:spacing w:line="0" w:lineRule="atLeast"/>
              <w:rPr>
                <w:sz w:val="18"/>
                <w:szCs w:val="18"/>
              </w:rPr>
            </w:pPr>
            <w:r w:rsidRPr="00414802">
              <w:rPr>
                <w:sz w:val="18"/>
                <w:szCs w:val="18"/>
              </w:rPr>
              <w:t xml:space="preserve">Acción de Grupo </w:t>
            </w:r>
          </w:p>
          <w:p w14:paraId="3D1FDD74" w14:textId="77777777" w:rsidR="003B41C3" w:rsidRPr="00414802" w:rsidRDefault="003B41C3" w:rsidP="003B41C3">
            <w:pPr>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0A7F746D" w14:textId="77777777" w:rsidR="003B41C3" w:rsidRPr="00414802" w:rsidRDefault="003B41C3" w:rsidP="003B41C3">
            <w:pPr>
              <w:spacing w:line="0" w:lineRule="atLeast"/>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hideMark/>
          </w:tcPr>
          <w:p w14:paraId="56A21F6F" w14:textId="77777777" w:rsidR="003B41C3" w:rsidRPr="00414802" w:rsidRDefault="003B41C3" w:rsidP="003B41C3">
            <w:pPr>
              <w:rPr>
                <w:sz w:val="18"/>
                <w:szCs w:val="18"/>
              </w:rPr>
            </w:pPr>
            <w:r w:rsidRPr="00414802">
              <w:rPr>
                <w:sz w:val="18"/>
                <w:szCs w:val="18"/>
              </w:rPr>
              <w:t>$2.192.404.000.000</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49CDB1D" w14:textId="77777777" w:rsidR="003B41C3" w:rsidRPr="00414802" w:rsidRDefault="003B41C3" w:rsidP="003B41C3">
            <w:pPr>
              <w:rPr>
                <w:sz w:val="18"/>
                <w:szCs w:val="18"/>
              </w:rPr>
            </w:pPr>
            <w:r w:rsidRPr="00414802">
              <w:rPr>
                <w:sz w:val="18"/>
                <w:szCs w:val="18"/>
              </w:rPr>
              <w:t>Mesa Interinstitucional</w:t>
            </w:r>
          </w:p>
        </w:tc>
      </w:tr>
      <w:tr w:rsidR="003B41C3" w:rsidRPr="00C65C55" w14:paraId="4782F7AB"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6CF6F011" w14:textId="77777777" w:rsidR="003B41C3" w:rsidRPr="00414802" w:rsidRDefault="003B41C3" w:rsidP="003B41C3">
            <w:pPr>
              <w:rPr>
                <w:b/>
                <w:sz w:val="18"/>
                <w:szCs w:val="18"/>
              </w:rPr>
            </w:pPr>
            <w:r w:rsidRPr="00414802">
              <w:rPr>
                <w:b/>
                <w:sz w:val="18"/>
                <w:szCs w:val="18"/>
              </w:rPr>
              <w:t>11</w:t>
            </w:r>
          </w:p>
        </w:tc>
        <w:tc>
          <w:tcPr>
            <w:tcW w:w="1700" w:type="dxa"/>
            <w:tcBorders>
              <w:top w:val="single" w:sz="4" w:space="0" w:color="auto"/>
              <w:left w:val="single" w:sz="4" w:space="0" w:color="auto"/>
              <w:bottom w:val="single" w:sz="4" w:space="0" w:color="auto"/>
              <w:right w:val="single" w:sz="4" w:space="0" w:color="auto"/>
            </w:tcBorders>
          </w:tcPr>
          <w:p w14:paraId="5864A30D" w14:textId="77777777" w:rsidR="003B41C3" w:rsidRPr="00414802" w:rsidRDefault="003B41C3" w:rsidP="003B41C3">
            <w:pPr>
              <w:spacing w:line="0" w:lineRule="atLeast"/>
              <w:rPr>
                <w:sz w:val="18"/>
                <w:szCs w:val="18"/>
              </w:rPr>
            </w:pPr>
            <w:r w:rsidRPr="00414802">
              <w:rPr>
                <w:sz w:val="18"/>
                <w:szCs w:val="18"/>
              </w:rPr>
              <w:t xml:space="preserve">Acción de Grupo </w:t>
            </w:r>
          </w:p>
          <w:p w14:paraId="27D012B3" w14:textId="77777777" w:rsidR="003B41C3" w:rsidRPr="00414802" w:rsidRDefault="003B41C3" w:rsidP="003B41C3">
            <w:pPr>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746A22DC" w14:textId="77777777" w:rsidR="003B41C3" w:rsidRPr="00414802" w:rsidRDefault="003B41C3" w:rsidP="003B41C3">
            <w:pPr>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hideMark/>
          </w:tcPr>
          <w:p w14:paraId="26C836DA" w14:textId="77777777" w:rsidR="003B41C3" w:rsidRPr="00414802" w:rsidRDefault="003B41C3" w:rsidP="003B41C3">
            <w:pPr>
              <w:rPr>
                <w:sz w:val="18"/>
                <w:szCs w:val="18"/>
              </w:rPr>
            </w:pPr>
            <w:r w:rsidRPr="00414802">
              <w:rPr>
                <w:sz w:val="18"/>
                <w:szCs w:val="18"/>
              </w:rPr>
              <w:t>$2.192.404.000.000</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9ED1672" w14:textId="77777777" w:rsidR="003B41C3" w:rsidRPr="00414802" w:rsidRDefault="003B41C3" w:rsidP="003B41C3">
            <w:pPr>
              <w:rPr>
                <w:sz w:val="18"/>
                <w:szCs w:val="18"/>
              </w:rPr>
            </w:pPr>
            <w:r w:rsidRPr="00414802">
              <w:rPr>
                <w:sz w:val="18"/>
                <w:szCs w:val="18"/>
              </w:rPr>
              <w:t>Mesa Interinstitucional</w:t>
            </w:r>
          </w:p>
        </w:tc>
      </w:tr>
      <w:tr w:rsidR="003B41C3" w:rsidRPr="00C65C55" w14:paraId="69E7970C"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06643650" w14:textId="77777777" w:rsidR="003B41C3" w:rsidRPr="00414802" w:rsidRDefault="003B41C3" w:rsidP="003B41C3">
            <w:pPr>
              <w:rPr>
                <w:b/>
                <w:sz w:val="18"/>
                <w:szCs w:val="18"/>
              </w:rPr>
            </w:pPr>
            <w:r w:rsidRPr="00414802">
              <w:rPr>
                <w:b/>
                <w:sz w:val="18"/>
                <w:szCs w:val="18"/>
              </w:rPr>
              <w:t>12</w:t>
            </w:r>
          </w:p>
        </w:tc>
        <w:tc>
          <w:tcPr>
            <w:tcW w:w="1700" w:type="dxa"/>
            <w:tcBorders>
              <w:top w:val="single" w:sz="4" w:space="0" w:color="auto"/>
              <w:left w:val="single" w:sz="4" w:space="0" w:color="auto"/>
              <w:bottom w:val="single" w:sz="4" w:space="0" w:color="auto"/>
              <w:right w:val="single" w:sz="4" w:space="0" w:color="auto"/>
            </w:tcBorders>
          </w:tcPr>
          <w:p w14:paraId="4D8450B6" w14:textId="77777777" w:rsidR="003B41C3" w:rsidRPr="00414802" w:rsidRDefault="003B41C3" w:rsidP="003B41C3">
            <w:pPr>
              <w:spacing w:line="0" w:lineRule="atLeast"/>
              <w:rPr>
                <w:sz w:val="18"/>
                <w:szCs w:val="18"/>
              </w:rPr>
            </w:pPr>
            <w:r w:rsidRPr="00414802">
              <w:rPr>
                <w:sz w:val="18"/>
                <w:szCs w:val="18"/>
              </w:rPr>
              <w:t>Acción de Grupo</w:t>
            </w:r>
          </w:p>
          <w:p w14:paraId="6819320D" w14:textId="77777777" w:rsidR="003B41C3" w:rsidRPr="00414802" w:rsidRDefault="003B41C3" w:rsidP="003B41C3">
            <w:pPr>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29A2180E" w14:textId="77777777" w:rsidR="003B41C3" w:rsidRPr="00414802" w:rsidRDefault="003B41C3" w:rsidP="003B41C3">
            <w:pPr>
              <w:spacing w:line="0" w:lineRule="atLeast"/>
              <w:rPr>
                <w:sz w:val="18"/>
                <w:szCs w:val="18"/>
              </w:rPr>
            </w:pPr>
            <w:r w:rsidRPr="00414802">
              <w:rPr>
                <w:sz w:val="18"/>
                <w:szCs w:val="18"/>
              </w:rPr>
              <w:t>Min Defensa y Otros</w:t>
            </w:r>
          </w:p>
        </w:tc>
        <w:tc>
          <w:tcPr>
            <w:tcW w:w="2126" w:type="dxa"/>
            <w:tcBorders>
              <w:top w:val="single" w:sz="4" w:space="0" w:color="auto"/>
              <w:left w:val="single" w:sz="4" w:space="0" w:color="auto"/>
              <w:bottom w:val="single" w:sz="4" w:space="0" w:color="auto"/>
              <w:right w:val="single" w:sz="4" w:space="0" w:color="auto"/>
            </w:tcBorders>
            <w:hideMark/>
          </w:tcPr>
          <w:p w14:paraId="4A81AA2D" w14:textId="77777777" w:rsidR="003B41C3" w:rsidRPr="00414802" w:rsidRDefault="003B41C3" w:rsidP="003B41C3">
            <w:pPr>
              <w:rPr>
                <w:sz w:val="18"/>
                <w:szCs w:val="18"/>
              </w:rPr>
            </w:pPr>
            <w:r w:rsidRPr="00414802">
              <w:rPr>
                <w:sz w:val="18"/>
                <w:szCs w:val="18"/>
              </w:rPr>
              <w:t>$1.996.909.879.234</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B6A590F" w14:textId="77777777" w:rsidR="003B41C3" w:rsidRPr="00414802" w:rsidRDefault="003B41C3" w:rsidP="003B41C3">
            <w:pPr>
              <w:rPr>
                <w:sz w:val="18"/>
                <w:szCs w:val="18"/>
              </w:rPr>
            </w:pPr>
            <w:r w:rsidRPr="00414802">
              <w:rPr>
                <w:sz w:val="18"/>
                <w:szCs w:val="18"/>
              </w:rPr>
              <w:t>Rendición Informe</w:t>
            </w:r>
          </w:p>
        </w:tc>
      </w:tr>
      <w:tr w:rsidR="003B41C3" w:rsidRPr="00C65C55" w14:paraId="2C9224CF"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749A9846" w14:textId="77777777" w:rsidR="003B41C3" w:rsidRPr="00414802" w:rsidRDefault="003B41C3" w:rsidP="003B41C3">
            <w:pPr>
              <w:rPr>
                <w:b/>
                <w:sz w:val="18"/>
                <w:szCs w:val="18"/>
              </w:rPr>
            </w:pPr>
            <w:r w:rsidRPr="00414802">
              <w:rPr>
                <w:b/>
                <w:sz w:val="18"/>
                <w:szCs w:val="18"/>
              </w:rPr>
              <w:t>13</w:t>
            </w:r>
          </w:p>
        </w:tc>
        <w:tc>
          <w:tcPr>
            <w:tcW w:w="1700" w:type="dxa"/>
            <w:tcBorders>
              <w:top w:val="single" w:sz="4" w:space="0" w:color="auto"/>
              <w:left w:val="single" w:sz="4" w:space="0" w:color="auto"/>
              <w:bottom w:val="single" w:sz="4" w:space="0" w:color="auto"/>
              <w:right w:val="single" w:sz="4" w:space="0" w:color="auto"/>
            </w:tcBorders>
            <w:hideMark/>
          </w:tcPr>
          <w:p w14:paraId="69D0AB5D" w14:textId="77777777" w:rsidR="003B41C3" w:rsidRPr="00414802" w:rsidRDefault="003B41C3" w:rsidP="003B41C3">
            <w:pPr>
              <w:tabs>
                <w:tab w:val="left" w:pos="4536"/>
              </w:tabs>
              <w:spacing w:line="0" w:lineRule="atLeast"/>
              <w:jc w:val="both"/>
              <w:rPr>
                <w:sz w:val="18"/>
                <w:szCs w:val="18"/>
              </w:rPr>
            </w:pPr>
            <w:r w:rsidRPr="00414802">
              <w:rPr>
                <w:sz w:val="18"/>
                <w:szCs w:val="18"/>
                <w:lang w:val="es-MX"/>
              </w:rPr>
              <w:t>Acción Reparación Directa</w:t>
            </w:r>
          </w:p>
        </w:tc>
        <w:tc>
          <w:tcPr>
            <w:tcW w:w="2525" w:type="dxa"/>
            <w:tcBorders>
              <w:top w:val="single" w:sz="4" w:space="0" w:color="auto"/>
              <w:left w:val="single" w:sz="4" w:space="0" w:color="auto"/>
              <w:bottom w:val="single" w:sz="4" w:space="0" w:color="auto"/>
              <w:right w:val="single" w:sz="4" w:space="0" w:color="auto"/>
            </w:tcBorders>
            <w:hideMark/>
          </w:tcPr>
          <w:p w14:paraId="054B0B65" w14:textId="77777777" w:rsidR="003B41C3" w:rsidRPr="00414802" w:rsidRDefault="003B41C3" w:rsidP="003B41C3">
            <w:pPr>
              <w:rPr>
                <w:sz w:val="18"/>
                <w:szCs w:val="18"/>
              </w:rPr>
            </w:pPr>
            <w:r w:rsidRPr="00414802">
              <w:rPr>
                <w:sz w:val="18"/>
                <w:szCs w:val="18"/>
                <w:lang w:val="es-MX"/>
              </w:rPr>
              <w:t xml:space="preserve">Ministerio de Transporte, </w:t>
            </w:r>
            <w:proofErr w:type="spellStart"/>
            <w:r w:rsidRPr="00414802">
              <w:rPr>
                <w:sz w:val="18"/>
                <w:szCs w:val="18"/>
                <w:lang w:val="es-MX"/>
              </w:rPr>
              <w:t>Transmilenio</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2B00D7CB" w14:textId="77777777" w:rsidR="003B41C3" w:rsidRPr="00414802" w:rsidRDefault="003B41C3" w:rsidP="003B41C3">
            <w:pPr>
              <w:rPr>
                <w:sz w:val="18"/>
                <w:szCs w:val="18"/>
              </w:rPr>
            </w:pPr>
            <w:r w:rsidRPr="00414802">
              <w:rPr>
                <w:sz w:val="18"/>
                <w:szCs w:val="18"/>
                <w:lang w:val="es-MX"/>
              </w:rPr>
              <w:t>$1.784.363.721.696</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633FC4" w14:textId="77777777" w:rsidR="003B41C3" w:rsidRPr="00414802" w:rsidRDefault="003B41C3" w:rsidP="003B41C3">
            <w:pPr>
              <w:rPr>
                <w:sz w:val="18"/>
                <w:szCs w:val="18"/>
                <w:lang w:val="es-MX"/>
              </w:rPr>
            </w:pPr>
            <w:r w:rsidRPr="00414802">
              <w:rPr>
                <w:sz w:val="18"/>
                <w:szCs w:val="18"/>
                <w:lang w:val="es-MX"/>
              </w:rPr>
              <w:t>Rendición Informe</w:t>
            </w:r>
          </w:p>
        </w:tc>
      </w:tr>
      <w:tr w:rsidR="003B41C3" w:rsidRPr="00C65C55" w14:paraId="190C69D5"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7D9AF489" w14:textId="77777777" w:rsidR="003B41C3" w:rsidRPr="00414802" w:rsidRDefault="003B41C3" w:rsidP="003B41C3">
            <w:pPr>
              <w:rPr>
                <w:b/>
                <w:sz w:val="18"/>
                <w:szCs w:val="18"/>
              </w:rPr>
            </w:pPr>
            <w:r w:rsidRPr="00414802">
              <w:rPr>
                <w:b/>
                <w:sz w:val="18"/>
                <w:szCs w:val="18"/>
              </w:rPr>
              <w:t>14</w:t>
            </w:r>
          </w:p>
        </w:tc>
        <w:tc>
          <w:tcPr>
            <w:tcW w:w="1700" w:type="dxa"/>
            <w:tcBorders>
              <w:top w:val="single" w:sz="4" w:space="0" w:color="auto"/>
              <w:left w:val="single" w:sz="4" w:space="0" w:color="auto"/>
              <w:bottom w:val="single" w:sz="4" w:space="0" w:color="auto"/>
              <w:right w:val="single" w:sz="4" w:space="0" w:color="auto"/>
            </w:tcBorders>
          </w:tcPr>
          <w:p w14:paraId="3CA415B8" w14:textId="77777777" w:rsidR="003B41C3" w:rsidRPr="00414802" w:rsidRDefault="003B41C3" w:rsidP="003B41C3">
            <w:pPr>
              <w:tabs>
                <w:tab w:val="left" w:pos="4536"/>
              </w:tabs>
              <w:spacing w:line="0" w:lineRule="atLeast"/>
              <w:rPr>
                <w:sz w:val="18"/>
                <w:szCs w:val="18"/>
                <w:lang w:val="es-MX"/>
              </w:rPr>
            </w:pPr>
            <w:r w:rsidRPr="00414802">
              <w:rPr>
                <w:sz w:val="18"/>
                <w:szCs w:val="18"/>
                <w:lang w:val="es-MX"/>
              </w:rPr>
              <w:t>Acción de Grupo</w:t>
            </w:r>
          </w:p>
          <w:p w14:paraId="7DE207AF" w14:textId="77777777" w:rsidR="003B41C3" w:rsidRPr="00414802" w:rsidRDefault="003B41C3" w:rsidP="003B41C3">
            <w:pPr>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634DCE97" w14:textId="77777777" w:rsidR="003B41C3" w:rsidRPr="00414802" w:rsidRDefault="003B41C3" w:rsidP="003B41C3">
            <w:pPr>
              <w:rPr>
                <w:sz w:val="18"/>
                <w:szCs w:val="18"/>
              </w:rPr>
            </w:pPr>
            <w:proofErr w:type="spellStart"/>
            <w:r w:rsidRPr="00414802">
              <w:rPr>
                <w:sz w:val="18"/>
                <w:szCs w:val="18"/>
                <w:lang w:val="es-MX"/>
              </w:rPr>
              <w:t>Mintic</w:t>
            </w:r>
            <w:proofErr w:type="spellEnd"/>
            <w:r w:rsidRPr="00414802">
              <w:rPr>
                <w:sz w:val="18"/>
                <w:szCs w:val="18"/>
                <w:lang w:val="es-MX"/>
              </w:rPr>
              <w:t xml:space="preserve">. </w:t>
            </w:r>
            <w:r w:rsidR="00C15372">
              <w:rPr>
                <w:sz w:val="18"/>
                <w:szCs w:val="18"/>
                <w:lang w:val="es-MX"/>
              </w:rPr>
              <w:t>COMISIÓN DE REGULACIÓN DE COMUNICACIONES</w:t>
            </w:r>
          </w:p>
        </w:tc>
        <w:tc>
          <w:tcPr>
            <w:tcW w:w="2126" w:type="dxa"/>
            <w:tcBorders>
              <w:top w:val="single" w:sz="4" w:space="0" w:color="auto"/>
              <w:left w:val="single" w:sz="4" w:space="0" w:color="auto"/>
              <w:bottom w:val="single" w:sz="4" w:space="0" w:color="auto"/>
              <w:right w:val="single" w:sz="4" w:space="0" w:color="auto"/>
            </w:tcBorders>
            <w:hideMark/>
          </w:tcPr>
          <w:p w14:paraId="3AFB672C" w14:textId="77777777" w:rsidR="003B41C3" w:rsidRPr="00414802" w:rsidRDefault="003B41C3" w:rsidP="003B41C3">
            <w:pPr>
              <w:rPr>
                <w:sz w:val="18"/>
                <w:szCs w:val="18"/>
              </w:rPr>
            </w:pPr>
            <w:r w:rsidRPr="00414802">
              <w:rPr>
                <w:sz w:val="18"/>
                <w:szCs w:val="18"/>
                <w:lang w:val="es-MX"/>
              </w:rPr>
              <w:t>$1.475.330.523.813</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9B1E789" w14:textId="77777777" w:rsidR="003B41C3" w:rsidRPr="00414802" w:rsidRDefault="003B41C3" w:rsidP="003B41C3">
            <w:pPr>
              <w:rPr>
                <w:sz w:val="18"/>
                <w:szCs w:val="18"/>
                <w:lang w:val="es-MX"/>
              </w:rPr>
            </w:pPr>
            <w:r w:rsidRPr="00414802">
              <w:rPr>
                <w:sz w:val="18"/>
                <w:szCs w:val="18"/>
              </w:rPr>
              <w:t>Mesa Interinstitucional</w:t>
            </w:r>
          </w:p>
        </w:tc>
      </w:tr>
      <w:tr w:rsidR="003B41C3" w:rsidRPr="00C65C55" w14:paraId="57780A36"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0C44DBE9" w14:textId="77777777" w:rsidR="003B41C3" w:rsidRPr="00414802" w:rsidRDefault="003B41C3" w:rsidP="003B41C3">
            <w:pPr>
              <w:rPr>
                <w:b/>
                <w:sz w:val="18"/>
                <w:szCs w:val="18"/>
              </w:rPr>
            </w:pPr>
            <w:r w:rsidRPr="00414802">
              <w:rPr>
                <w:b/>
                <w:sz w:val="18"/>
                <w:szCs w:val="18"/>
              </w:rPr>
              <w:t>15</w:t>
            </w:r>
          </w:p>
        </w:tc>
        <w:tc>
          <w:tcPr>
            <w:tcW w:w="1700" w:type="dxa"/>
            <w:tcBorders>
              <w:top w:val="single" w:sz="4" w:space="0" w:color="auto"/>
              <w:left w:val="single" w:sz="4" w:space="0" w:color="auto"/>
              <w:bottom w:val="single" w:sz="4" w:space="0" w:color="auto"/>
              <w:right w:val="single" w:sz="4" w:space="0" w:color="auto"/>
            </w:tcBorders>
            <w:hideMark/>
          </w:tcPr>
          <w:p w14:paraId="48B530B7" w14:textId="77777777" w:rsidR="003B41C3" w:rsidRPr="00414802" w:rsidRDefault="003B41C3" w:rsidP="003B41C3">
            <w:pPr>
              <w:spacing w:line="0" w:lineRule="atLeast"/>
              <w:rPr>
                <w:sz w:val="18"/>
                <w:szCs w:val="18"/>
              </w:rPr>
            </w:pPr>
            <w:r w:rsidRPr="00414802">
              <w:rPr>
                <w:sz w:val="18"/>
                <w:szCs w:val="18"/>
              </w:rPr>
              <w:t xml:space="preserve">Acción de Grupo </w:t>
            </w:r>
          </w:p>
        </w:tc>
        <w:tc>
          <w:tcPr>
            <w:tcW w:w="2525" w:type="dxa"/>
            <w:tcBorders>
              <w:top w:val="single" w:sz="4" w:space="0" w:color="auto"/>
              <w:left w:val="single" w:sz="4" w:space="0" w:color="auto"/>
              <w:bottom w:val="single" w:sz="4" w:space="0" w:color="auto"/>
              <w:right w:val="single" w:sz="4" w:space="0" w:color="auto"/>
            </w:tcBorders>
            <w:hideMark/>
          </w:tcPr>
          <w:p w14:paraId="6A1AC9B9" w14:textId="77777777" w:rsidR="003B41C3" w:rsidRPr="00414802" w:rsidRDefault="003B41C3" w:rsidP="003B41C3">
            <w:pPr>
              <w:spacing w:line="0" w:lineRule="atLeast"/>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tcPr>
          <w:p w14:paraId="20B9B7F8" w14:textId="77777777" w:rsidR="003B41C3" w:rsidRPr="00414802" w:rsidRDefault="003B41C3" w:rsidP="003B41C3">
            <w:pPr>
              <w:spacing w:line="0" w:lineRule="atLeast"/>
              <w:rPr>
                <w:sz w:val="18"/>
                <w:szCs w:val="18"/>
              </w:rPr>
            </w:pPr>
            <w:r w:rsidRPr="00414802">
              <w:rPr>
                <w:sz w:val="18"/>
                <w:szCs w:val="18"/>
              </w:rPr>
              <w:t>$1.315.442.400.000</w:t>
            </w:r>
          </w:p>
          <w:p w14:paraId="0FD35EF1" w14:textId="77777777" w:rsidR="003B41C3" w:rsidRPr="00414802" w:rsidRDefault="003B41C3" w:rsidP="003B41C3">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EDFFB8" w14:textId="77777777" w:rsidR="003B41C3" w:rsidRPr="00414802" w:rsidRDefault="003B41C3" w:rsidP="003B41C3">
            <w:pPr>
              <w:spacing w:line="0" w:lineRule="atLeast"/>
              <w:rPr>
                <w:sz w:val="18"/>
                <w:szCs w:val="18"/>
              </w:rPr>
            </w:pPr>
            <w:r w:rsidRPr="00414802">
              <w:rPr>
                <w:sz w:val="18"/>
                <w:szCs w:val="18"/>
              </w:rPr>
              <w:t>Mesa Interinstitucional</w:t>
            </w:r>
          </w:p>
        </w:tc>
      </w:tr>
      <w:tr w:rsidR="003B41C3" w:rsidRPr="00C65C55" w14:paraId="7021C23D"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32CA7B0" w14:textId="77777777" w:rsidR="003B41C3" w:rsidRPr="00414802" w:rsidRDefault="003B41C3" w:rsidP="003B41C3">
            <w:pPr>
              <w:rPr>
                <w:b/>
                <w:sz w:val="18"/>
                <w:szCs w:val="18"/>
              </w:rPr>
            </w:pPr>
            <w:r w:rsidRPr="00414802">
              <w:rPr>
                <w:b/>
                <w:sz w:val="18"/>
                <w:szCs w:val="18"/>
              </w:rPr>
              <w:t>16</w:t>
            </w:r>
          </w:p>
        </w:tc>
        <w:tc>
          <w:tcPr>
            <w:tcW w:w="1700" w:type="dxa"/>
            <w:tcBorders>
              <w:top w:val="single" w:sz="4" w:space="0" w:color="auto"/>
              <w:left w:val="single" w:sz="4" w:space="0" w:color="auto"/>
              <w:bottom w:val="single" w:sz="4" w:space="0" w:color="auto"/>
              <w:right w:val="single" w:sz="4" w:space="0" w:color="auto"/>
            </w:tcBorders>
            <w:hideMark/>
          </w:tcPr>
          <w:p w14:paraId="5329DE42" w14:textId="77777777" w:rsidR="003B41C3" w:rsidRPr="00414802" w:rsidRDefault="003B41C3" w:rsidP="003B41C3">
            <w:pPr>
              <w:spacing w:line="0" w:lineRule="atLeast"/>
              <w:jc w:val="both"/>
              <w:rPr>
                <w:sz w:val="18"/>
                <w:szCs w:val="18"/>
              </w:rPr>
            </w:pPr>
            <w:r w:rsidRPr="00414802">
              <w:rPr>
                <w:sz w:val="18"/>
                <w:szCs w:val="18"/>
              </w:rPr>
              <w:t>Acción Nulidad Restablecimiento del Derecho</w:t>
            </w:r>
          </w:p>
        </w:tc>
        <w:tc>
          <w:tcPr>
            <w:tcW w:w="2525" w:type="dxa"/>
            <w:tcBorders>
              <w:top w:val="single" w:sz="4" w:space="0" w:color="auto"/>
              <w:left w:val="single" w:sz="4" w:space="0" w:color="auto"/>
              <w:bottom w:val="single" w:sz="4" w:space="0" w:color="auto"/>
              <w:right w:val="single" w:sz="4" w:space="0" w:color="auto"/>
            </w:tcBorders>
          </w:tcPr>
          <w:p w14:paraId="08406338" w14:textId="77777777" w:rsidR="003B41C3" w:rsidRPr="00414802" w:rsidRDefault="00C15372" w:rsidP="003B41C3">
            <w:pPr>
              <w:spacing w:line="0" w:lineRule="atLeast"/>
              <w:jc w:val="both"/>
              <w:rPr>
                <w:sz w:val="18"/>
                <w:szCs w:val="18"/>
              </w:rPr>
            </w:pPr>
            <w:r>
              <w:rPr>
                <w:sz w:val="18"/>
                <w:szCs w:val="18"/>
              </w:rPr>
              <w:t>Ministerio de Hacienda y Crédito Público</w:t>
            </w:r>
            <w:r w:rsidR="003B41C3" w:rsidRPr="00414802">
              <w:rPr>
                <w:sz w:val="18"/>
                <w:szCs w:val="18"/>
              </w:rPr>
              <w:t>, Banco de la República y Otro</w:t>
            </w:r>
          </w:p>
          <w:p w14:paraId="292B1BA2" w14:textId="77777777" w:rsidR="003B41C3" w:rsidRPr="00414802" w:rsidRDefault="003B41C3" w:rsidP="003B41C3">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5CFE9D8" w14:textId="77777777" w:rsidR="003B41C3" w:rsidRPr="00414802" w:rsidRDefault="003B41C3" w:rsidP="003B41C3">
            <w:pPr>
              <w:spacing w:line="0" w:lineRule="atLeast"/>
              <w:rPr>
                <w:sz w:val="18"/>
                <w:szCs w:val="18"/>
              </w:rPr>
            </w:pPr>
            <w:r w:rsidRPr="00414802">
              <w:rPr>
                <w:sz w:val="18"/>
                <w:szCs w:val="18"/>
              </w:rPr>
              <w:t>$1.184.492.952.000</w:t>
            </w:r>
          </w:p>
          <w:p w14:paraId="444AF50F" w14:textId="77777777" w:rsidR="003B41C3" w:rsidRPr="00414802" w:rsidRDefault="003B41C3" w:rsidP="003B41C3">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AA82861" w14:textId="77777777" w:rsidR="003B41C3" w:rsidRPr="00414802" w:rsidRDefault="003B41C3" w:rsidP="003B41C3">
            <w:pPr>
              <w:spacing w:line="0" w:lineRule="atLeast"/>
              <w:rPr>
                <w:sz w:val="18"/>
                <w:szCs w:val="18"/>
              </w:rPr>
            </w:pPr>
            <w:r w:rsidRPr="00414802">
              <w:rPr>
                <w:sz w:val="18"/>
                <w:szCs w:val="18"/>
              </w:rPr>
              <w:t>Rendición Informe</w:t>
            </w:r>
          </w:p>
        </w:tc>
      </w:tr>
      <w:tr w:rsidR="003B41C3" w:rsidRPr="00C65C55" w14:paraId="3E50819A"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5A25966B" w14:textId="77777777" w:rsidR="003B41C3" w:rsidRPr="00414802" w:rsidRDefault="003B41C3" w:rsidP="003B41C3">
            <w:pPr>
              <w:rPr>
                <w:b/>
                <w:sz w:val="18"/>
                <w:szCs w:val="18"/>
              </w:rPr>
            </w:pPr>
            <w:r w:rsidRPr="00414802">
              <w:rPr>
                <w:b/>
                <w:sz w:val="18"/>
                <w:szCs w:val="18"/>
              </w:rPr>
              <w:t>17</w:t>
            </w:r>
          </w:p>
        </w:tc>
        <w:tc>
          <w:tcPr>
            <w:tcW w:w="1700" w:type="dxa"/>
            <w:tcBorders>
              <w:top w:val="single" w:sz="4" w:space="0" w:color="auto"/>
              <w:left w:val="single" w:sz="4" w:space="0" w:color="auto"/>
              <w:bottom w:val="single" w:sz="4" w:space="0" w:color="auto"/>
              <w:right w:val="single" w:sz="4" w:space="0" w:color="auto"/>
            </w:tcBorders>
            <w:hideMark/>
          </w:tcPr>
          <w:p w14:paraId="6F08753D" w14:textId="77777777" w:rsidR="003B41C3" w:rsidRPr="00414802" w:rsidRDefault="003B41C3" w:rsidP="003B41C3">
            <w:pPr>
              <w:spacing w:line="0" w:lineRule="atLeast"/>
              <w:jc w:val="both"/>
              <w:rPr>
                <w:sz w:val="18"/>
                <w:szCs w:val="18"/>
              </w:rPr>
            </w:pPr>
            <w:r w:rsidRPr="00414802">
              <w:rPr>
                <w:sz w:val="18"/>
                <w:szCs w:val="18"/>
              </w:rPr>
              <w:t>Acción Reparación Directa</w:t>
            </w:r>
          </w:p>
        </w:tc>
        <w:tc>
          <w:tcPr>
            <w:tcW w:w="2525" w:type="dxa"/>
            <w:tcBorders>
              <w:top w:val="single" w:sz="4" w:space="0" w:color="auto"/>
              <w:left w:val="single" w:sz="4" w:space="0" w:color="auto"/>
              <w:bottom w:val="single" w:sz="4" w:space="0" w:color="auto"/>
              <w:right w:val="single" w:sz="4" w:space="0" w:color="auto"/>
            </w:tcBorders>
            <w:hideMark/>
          </w:tcPr>
          <w:p w14:paraId="3286945B" w14:textId="77777777" w:rsidR="003B41C3" w:rsidRPr="00414802" w:rsidRDefault="003B41C3" w:rsidP="003B41C3">
            <w:pPr>
              <w:rPr>
                <w:sz w:val="18"/>
                <w:szCs w:val="18"/>
              </w:rPr>
            </w:pPr>
            <w:proofErr w:type="spellStart"/>
            <w:r w:rsidRPr="00414802">
              <w:rPr>
                <w:sz w:val="18"/>
                <w:szCs w:val="18"/>
              </w:rPr>
              <w:t>Aerocivil</w:t>
            </w:r>
            <w:proofErr w:type="spellEnd"/>
          </w:p>
        </w:tc>
        <w:tc>
          <w:tcPr>
            <w:tcW w:w="2126" w:type="dxa"/>
            <w:tcBorders>
              <w:top w:val="single" w:sz="4" w:space="0" w:color="auto"/>
              <w:left w:val="single" w:sz="4" w:space="0" w:color="auto"/>
              <w:bottom w:val="single" w:sz="4" w:space="0" w:color="auto"/>
              <w:right w:val="single" w:sz="4" w:space="0" w:color="auto"/>
            </w:tcBorders>
          </w:tcPr>
          <w:p w14:paraId="6FF62FD0" w14:textId="77777777" w:rsidR="003B41C3" w:rsidRPr="00414802" w:rsidRDefault="003B41C3" w:rsidP="003B41C3">
            <w:pPr>
              <w:spacing w:line="0" w:lineRule="atLeast"/>
              <w:rPr>
                <w:sz w:val="18"/>
                <w:szCs w:val="18"/>
              </w:rPr>
            </w:pPr>
            <w:r w:rsidRPr="00414802">
              <w:rPr>
                <w:sz w:val="18"/>
                <w:szCs w:val="18"/>
              </w:rPr>
              <w:t>$1.102.764.291.684</w:t>
            </w:r>
          </w:p>
          <w:p w14:paraId="529526B6" w14:textId="77777777" w:rsidR="003B41C3" w:rsidRPr="00414802" w:rsidRDefault="003B41C3" w:rsidP="003B41C3">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FB008A" w14:textId="77777777" w:rsidR="003B41C3" w:rsidRPr="00414802" w:rsidRDefault="003B41C3" w:rsidP="003B41C3">
            <w:pPr>
              <w:spacing w:line="0" w:lineRule="atLeast"/>
              <w:rPr>
                <w:sz w:val="18"/>
                <w:szCs w:val="18"/>
              </w:rPr>
            </w:pPr>
            <w:r w:rsidRPr="00414802">
              <w:rPr>
                <w:sz w:val="18"/>
                <w:szCs w:val="18"/>
              </w:rPr>
              <w:t>Rendición Informe</w:t>
            </w:r>
          </w:p>
        </w:tc>
      </w:tr>
      <w:tr w:rsidR="003B41C3" w:rsidRPr="00C65C55" w14:paraId="67231334"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188D81F" w14:textId="77777777" w:rsidR="003B41C3" w:rsidRPr="00414802" w:rsidRDefault="003B41C3" w:rsidP="003B41C3">
            <w:pPr>
              <w:rPr>
                <w:b/>
                <w:sz w:val="18"/>
                <w:szCs w:val="18"/>
              </w:rPr>
            </w:pPr>
            <w:r w:rsidRPr="00414802">
              <w:rPr>
                <w:b/>
                <w:sz w:val="18"/>
                <w:szCs w:val="18"/>
              </w:rPr>
              <w:t>18</w:t>
            </w:r>
          </w:p>
        </w:tc>
        <w:tc>
          <w:tcPr>
            <w:tcW w:w="1700" w:type="dxa"/>
            <w:tcBorders>
              <w:top w:val="single" w:sz="4" w:space="0" w:color="auto"/>
              <w:left w:val="single" w:sz="4" w:space="0" w:color="auto"/>
              <w:bottom w:val="single" w:sz="4" w:space="0" w:color="auto"/>
              <w:right w:val="single" w:sz="4" w:space="0" w:color="auto"/>
            </w:tcBorders>
          </w:tcPr>
          <w:p w14:paraId="69D7FBAB" w14:textId="77777777" w:rsidR="003B41C3" w:rsidRPr="00414802" w:rsidRDefault="003B41C3" w:rsidP="003B41C3">
            <w:pPr>
              <w:spacing w:line="0" w:lineRule="atLeast"/>
              <w:rPr>
                <w:sz w:val="18"/>
                <w:szCs w:val="18"/>
              </w:rPr>
            </w:pPr>
            <w:r w:rsidRPr="00414802">
              <w:rPr>
                <w:sz w:val="18"/>
                <w:szCs w:val="18"/>
              </w:rPr>
              <w:t>Acción de Grupo</w:t>
            </w:r>
          </w:p>
          <w:p w14:paraId="1DDECA3B" w14:textId="77777777" w:rsidR="003B41C3" w:rsidRPr="00414802" w:rsidRDefault="003B41C3" w:rsidP="003B41C3">
            <w:pPr>
              <w:spacing w:line="0" w:lineRule="atLeast"/>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0700FD9F" w14:textId="77777777" w:rsidR="003B41C3" w:rsidRPr="00414802" w:rsidRDefault="003B41C3" w:rsidP="003B41C3">
            <w:pPr>
              <w:spacing w:line="0" w:lineRule="atLeast"/>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tcPr>
          <w:p w14:paraId="4C0E7B7A" w14:textId="77777777" w:rsidR="003B41C3" w:rsidRPr="00414802" w:rsidRDefault="003B41C3" w:rsidP="003B41C3">
            <w:pPr>
              <w:spacing w:line="0" w:lineRule="atLeast"/>
              <w:rPr>
                <w:sz w:val="18"/>
                <w:szCs w:val="18"/>
              </w:rPr>
            </w:pPr>
            <w:r w:rsidRPr="00414802">
              <w:rPr>
                <w:sz w:val="18"/>
                <w:szCs w:val="18"/>
              </w:rPr>
              <w:t>$1.096.202.000.000</w:t>
            </w:r>
          </w:p>
          <w:p w14:paraId="62A3D26E" w14:textId="77777777" w:rsidR="003B41C3" w:rsidRPr="00414802" w:rsidRDefault="003B41C3" w:rsidP="003B41C3">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CCC15E" w14:textId="77777777" w:rsidR="003B41C3" w:rsidRPr="00414802" w:rsidRDefault="003B41C3" w:rsidP="003B41C3">
            <w:pPr>
              <w:spacing w:line="0" w:lineRule="atLeast"/>
              <w:rPr>
                <w:sz w:val="18"/>
                <w:szCs w:val="18"/>
              </w:rPr>
            </w:pPr>
            <w:r w:rsidRPr="00414802">
              <w:rPr>
                <w:sz w:val="18"/>
                <w:szCs w:val="18"/>
              </w:rPr>
              <w:t>Mesa Interinstitucional</w:t>
            </w:r>
          </w:p>
        </w:tc>
      </w:tr>
      <w:tr w:rsidR="003B41C3" w:rsidRPr="00C65C55" w14:paraId="6B1EE8D4"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47A4ACD9" w14:textId="77777777" w:rsidR="003B41C3" w:rsidRPr="00414802" w:rsidRDefault="003B41C3" w:rsidP="003B41C3">
            <w:pPr>
              <w:rPr>
                <w:b/>
                <w:sz w:val="18"/>
                <w:szCs w:val="18"/>
              </w:rPr>
            </w:pPr>
            <w:r w:rsidRPr="00414802">
              <w:rPr>
                <w:b/>
                <w:sz w:val="18"/>
                <w:szCs w:val="18"/>
              </w:rPr>
              <w:t>19</w:t>
            </w:r>
          </w:p>
        </w:tc>
        <w:tc>
          <w:tcPr>
            <w:tcW w:w="1700" w:type="dxa"/>
            <w:tcBorders>
              <w:top w:val="single" w:sz="4" w:space="0" w:color="auto"/>
              <w:left w:val="single" w:sz="4" w:space="0" w:color="auto"/>
              <w:bottom w:val="single" w:sz="4" w:space="0" w:color="auto"/>
              <w:right w:val="single" w:sz="4" w:space="0" w:color="auto"/>
            </w:tcBorders>
          </w:tcPr>
          <w:p w14:paraId="1387DD72" w14:textId="77777777" w:rsidR="003B41C3" w:rsidRPr="00414802" w:rsidRDefault="003B41C3" w:rsidP="003B41C3">
            <w:pPr>
              <w:spacing w:line="0" w:lineRule="atLeast"/>
              <w:rPr>
                <w:sz w:val="18"/>
                <w:szCs w:val="18"/>
              </w:rPr>
            </w:pPr>
            <w:r w:rsidRPr="00414802">
              <w:rPr>
                <w:sz w:val="18"/>
                <w:szCs w:val="18"/>
              </w:rPr>
              <w:t xml:space="preserve">Acción de Grupo </w:t>
            </w:r>
          </w:p>
          <w:p w14:paraId="5E47255F" w14:textId="77777777" w:rsidR="003B41C3" w:rsidRPr="00414802" w:rsidRDefault="003B41C3" w:rsidP="003B41C3">
            <w:pPr>
              <w:spacing w:line="0" w:lineRule="atLeast"/>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6A7187DF" w14:textId="77777777" w:rsidR="003B41C3" w:rsidRPr="00414802" w:rsidRDefault="003B41C3" w:rsidP="003B41C3">
            <w:pPr>
              <w:spacing w:line="0" w:lineRule="atLeast"/>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tcPr>
          <w:p w14:paraId="20767877" w14:textId="77777777" w:rsidR="003B41C3" w:rsidRPr="00414802" w:rsidRDefault="003B41C3" w:rsidP="003B41C3">
            <w:pPr>
              <w:spacing w:line="0" w:lineRule="atLeast"/>
              <w:rPr>
                <w:sz w:val="18"/>
                <w:szCs w:val="18"/>
              </w:rPr>
            </w:pPr>
            <w:r w:rsidRPr="00414802">
              <w:rPr>
                <w:sz w:val="18"/>
                <w:szCs w:val="18"/>
              </w:rPr>
              <w:t>$1.096.202.000.000</w:t>
            </w:r>
          </w:p>
          <w:p w14:paraId="7BF829C5" w14:textId="77777777" w:rsidR="003B41C3" w:rsidRPr="00414802" w:rsidRDefault="003B41C3" w:rsidP="003B41C3">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6761C6" w14:textId="77777777" w:rsidR="003B41C3" w:rsidRPr="00414802" w:rsidRDefault="003B41C3" w:rsidP="003B41C3">
            <w:pPr>
              <w:spacing w:line="0" w:lineRule="atLeast"/>
              <w:rPr>
                <w:sz w:val="18"/>
                <w:szCs w:val="18"/>
              </w:rPr>
            </w:pPr>
            <w:r w:rsidRPr="00414802">
              <w:rPr>
                <w:sz w:val="18"/>
                <w:szCs w:val="18"/>
              </w:rPr>
              <w:t>Mesa Interinstitucional</w:t>
            </w:r>
          </w:p>
        </w:tc>
      </w:tr>
      <w:tr w:rsidR="003B41C3" w:rsidRPr="00C65C55" w14:paraId="70B2E8B1"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1BD70F9E" w14:textId="77777777" w:rsidR="003B41C3" w:rsidRPr="00414802" w:rsidRDefault="003B41C3" w:rsidP="003B41C3">
            <w:pPr>
              <w:rPr>
                <w:b/>
                <w:sz w:val="18"/>
                <w:szCs w:val="18"/>
              </w:rPr>
            </w:pPr>
            <w:r w:rsidRPr="00414802">
              <w:rPr>
                <w:b/>
                <w:sz w:val="18"/>
                <w:szCs w:val="18"/>
              </w:rPr>
              <w:t>20</w:t>
            </w:r>
          </w:p>
        </w:tc>
        <w:tc>
          <w:tcPr>
            <w:tcW w:w="1700" w:type="dxa"/>
            <w:tcBorders>
              <w:top w:val="single" w:sz="4" w:space="0" w:color="auto"/>
              <w:left w:val="single" w:sz="4" w:space="0" w:color="auto"/>
              <w:bottom w:val="single" w:sz="4" w:space="0" w:color="auto"/>
              <w:right w:val="single" w:sz="4" w:space="0" w:color="auto"/>
            </w:tcBorders>
          </w:tcPr>
          <w:p w14:paraId="247EEAF4" w14:textId="77777777" w:rsidR="003B41C3" w:rsidRPr="00414802" w:rsidRDefault="003B41C3" w:rsidP="003B41C3">
            <w:pPr>
              <w:spacing w:line="0" w:lineRule="atLeast"/>
              <w:rPr>
                <w:sz w:val="18"/>
                <w:szCs w:val="18"/>
              </w:rPr>
            </w:pPr>
            <w:r w:rsidRPr="00414802">
              <w:rPr>
                <w:sz w:val="18"/>
                <w:szCs w:val="18"/>
              </w:rPr>
              <w:t xml:space="preserve">Acción de Grupo </w:t>
            </w:r>
          </w:p>
          <w:p w14:paraId="34086237" w14:textId="77777777" w:rsidR="003B41C3" w:rsidRPr="00414802" w:rsidRDefault="003B41C3" w:rsidP="003B41C3">
            <w:pPr>
              <w:spacing w:line="0" w:lineRule="atLeast"/>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40ACAE13" w14:textId="77777777" w:rsidR="003B41C3" w:rsidRPr="00414802" w:rsidRDefault="003B41C3" w:rsidP="003B41C3">
            <w:pPr>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tcPr>
          <w:p w14:paraId="3B9EDD6E" w14:textId="77777777" w:rsidR="003B41C3" w:rsidRPr="00414802" w:rsidRDefault="003B41C3" w:rsidP="003B41C3">
            <w:pPr>
              <w:spacing w:line="0" w:lineRule="atLeast"/>
              <w:rPr>
                <w:sz w:val="18"/>
                <w:szCs w:val="18"/>
              </w:rPr>
            </w:pPr>
            <w:r w:rsidRPr="00414802">
              <w:rPr>
                <w:sz w:val="18"/>
                <w:szCs w:val="18"/>
              </w:rPr>
              <w:t>$1.096.202.000.000</w:t>
            </w:r>
          </w:p>
          <w:p w14:paraId="58A18639" w14:textId="77777777" w:rsidR="003B41C3" w:rsidRPr="00414802" w:rsidRDefault="003B41C3" w:rsidP="003B41C3">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A71A90" w14:textId="77777777" w:rsidR="003B41C3" w:rsidRPr="00414802" w:rsidRDefault="003B41C3" w:rsidP="003B41C3">
            <w:pPr>
              <w:spacing w:line="0" w:lineRule="atLeast"/>
              <w:rPr>
                <w:sz w:val="18"/>
                <w:szCs w:val="18"/>
              </w:rPr>
            </w:pPr>
            <w:r w:rsidRPr="00414802">
              <w:rPr>
                <w:sz w:val="18"/>
                <w:szCs w:val="18"/>
              </w:rPr>
              <w:t>Mesa Interinstitucional</w:t>
            </w:r>
          </w:p>
        </w:tc>
      </w:tr>
      <w:tr w:rsidR="003B41C3" w:rsidRPr="00C65C55" w14:paraId="48D9A8A4"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1A95BB19" w14:textId="77777777" w:rsidR="003B41C3" w:rsidRPr="00414802" w:rsidRDefault="003B41C3" w:rsidP="003B41C3">
            <w:pPr>
              <w:rPr>
                <w:b/>
                <w:sz w:val="18"/>
                <w:szCs w:val="18"/>
              </w:rPr>
            </w:pPr>
            <w:r w:rsidRPr="00414802">
              <w:rPr>
                <w:b/>
                <w:sz w:val="18"/>
                <w:szCs w:val="18"/>
              </w:rPr>
              <w:lastRenderedPageBreak/>
              <w:t>21</w:t>
            </w:r>
          </w:p>
        </w:tc>
        <w:tc>
          <w:tcPr>
            <w:tcW w:w="1700" w:type="dxa"/>
            <w:tcBorders>
              <w:top w:val="single" w:sz="4" w:space="0" w:color="auto"/>
              <w:left w:val="single" w:sz="4" w:space="0" w:color="auto"/>
              <w:bottom w:val="single" w:sz="4" w:space="0" w:color="auto"/>
              <w:right w:val="single" w:sz="4" w:space="0" w:color="auto"/>
            </w:tcBorders>
          </w:tcPr>
          <w:p w14:paraId="7D377E07" w14:textId="77777777" w:rsidR="003B41C3" w:rsidRPr="00414802" w:rsidRDefault="003B41C3" w:rsidP="003B41C3">
            <w:pPr>
              <w:spacing w:line="0" w:lineRule="atLeast"/>
              <w:rPr>
                <w:sz w:val="18"/>
                <w:szCs w:val="18"/>
              </w:rPr>
            </w:pPr>
            <w:r w:rsidRPr="00414802">
              <w:rPr>
                <w:sz w:val="18"/>
                <w:szCs w:val="18"/>
              </w:rPr>
              <w:t xml:space="preserve">Acción de Grupo </w:t>
            </w:r>
          </w:p>
          <w:p w14:paraId="54EACB7A" w14:textId="77777777" w:rsidR="003B41C3" w:rsidRPr="00414802" w:rsidRDefault="003B41C3" w:rsidP="003B41C3">
            <w:pPr>
              <w:spacing w:line="0" w:lineRule="atLeast"/>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4E8CE7C1" w14:textId="77777777" w:rsidR="003B41C3" w:rsidRPr="00414802" w:rsidRDefault="003B41C3" w:rsidP="003B41C3">
            <w:pPr>
              <w:spacing w:line="0" w:lineRule="atLeast"/>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tcPr>
          <w:p w14:paraId="0EA3A830" w14:textId="77777777" w:rsidR="003B41C3" w:rsidRPr="00414802" w:rsidRDefault="003B41C3" w:rsidP="003B41C3">
            <w:pPr>
              <w:spacing w:line="0" w:lineRule="atLeast"/>
              <w:rPr>
                <w:sz w:val="18"/>
                <w:szCs w:val="18"/>
              </w:rPr>
            </w:pPr>
            <w:r w:rsidRPr="00414802">
              <w:rPr>
                <w:sz w:val="18"/>
                <w:szCs w:val="18"/>
              </w:rPr>
              <w:t>$1.096.202.000.000</w:t>
            </w:r>
          </w:p>
          <w:p w14:paraId="37780172" w14:textId="77777777" w:rsidR="003B41C3" w:rsidRPr="00414802" w:rsidRDefault="003B41C3" w:rsidP="003B41C3">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DC3B3F" w14:textId="77777777" w:rsidR="003B41C3" w:rsidRPr="00414802" w:rsidRDefault="003B41C3" w:rsidP="003B41C3">
            <w:pPr>
              <w:spacing w:line="0" w:lineRule="atLeast"/>
              <w:rPr>
                <w:sz w:val="18"/>
                <w:szCs w:val="18"/>
              </w:rPr>
            </w:pPr>
            <w:r w:rsidRPr="00414802">
              <w:rPr>
                <w:sz w:val="18"/>
                <w:szCs w:val="18"/>
              </w:rPr>
              <w:t>Mesa Interinstitucional</w:t>
            </w:r>
          </w:p>
        </w:tc>
      </w:tr>
      <w:tr w:rsidR="003B41C3" w:rsidRPr="00C65C55" w14:paraId="589AD87F"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612783BA" w14:textId="77777777" w:rsidR="003B41C3" w:rsidRPr="00414802" w:rsidRDefault="003B41C3" w:rsidP="003B41C3">
            <w:pPr>
              <w:rPr>
                <w:b/>
                <w:sz w:val="18"/>
                <w:szCs w:val="18"/>
              </w:rPr>
            </w:pPr>
            <w:r w:rsidRPr="00414802">
              <w:rPr>
                <w:b/>
                <w:sz w:val="18"/>
                <w:szCs w:val="18"/>
              </w:rPr>
              <w:t>22</w:t>
            </w:r>
          </w:p>
        </w:tc>
        <w:tc>
          <w:tcPr>
            <w:tcW w:w="1700" w:type="dxa"/>
            <w:tcBorders>
              <w:top w:val="single" w:sz="4" w:space="0" w:color="auto"/>
              <w:left w:val="single" w:sz="4" w:space="0" w:color="auto"/>
              <w:bottom w:val="single" w:sz="4" w:space="0" w:color="auto"/>
              <w:right w:val="single" w:sz="4" w:space="0" w:color="auto"/>
            </w:tcBorders>
          </w:tcPr>
          <w:p w14:paraId="43F562D7" w14:textId="77777777" w:rsidR="003B41C3" w:rsidRPr="00414802" w:rsidRDefault="003B41C3" w:rsidP="003B41C3">
            <w:pPr>
              <w:spacing w:line="0" w:lineRule="atLeast"/>
              <w:rPr>
                <w:sz w:val="18"/>
                <w:szCs w:val="18"/>
              </w:rPr>
            </w:pPr>
            <w:r w:rsidRPr="00414802">
              <w:rPr>
                <w:sz w:val="18"/>
                <w:szCs w:val="18"/>
              </w:rPr>
              <w:t xml:space="preserve">Acción de Grupo </w:t>
            </w:r>
          </w:p>
          <w:p w14:paraId="37DDBE01" w14:textId="77777777" w:rsidR="003B41C3" w:rsidRPr="00414802" w:rsidRDefault="003B41C3" w:rsidP="003B41C3">
            <w:pPr>
              <w:spacing w:line="0" w:lineRule="atLeast"/>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50CEF56B" w14:textId="77777777" w:rsidR="003B41C3" w:rsidRPr="00414802" w:rsidRDefault="003B41C3" w:rsidP="003B41C3">
            <w:pPr>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tcPr>
          <w:p w14:paraId="2EA9E788" w14:textId="77777777" w:rsidR="003B41C3" w:rsidRPr="00414802" w:rsidRDefault="003B41C3" w:rsidP="003B41C3">
            <w:pPr>
              <w:spacing w:line="0" w:lineRule="atLeast"/>
              <w:rPr>
                <w:sz w:val="18"/>
                <w:szCs w:val="18"/>
              </w:rPr>
            </w:pPr>
            <w:r w:rsidRPr="00414802">
              <w:rPr>
                <w:sz w:val="18"/>
                <w:szCs w:val="18"/>
              </w:rPr>
              <w:t>$1.096.202.000.000</w:t>
            </w:r>
          </w:p>
          <w:p w14:paraId="47242831" w14:textId="77777777" w:rsidR="003B41C3" w:rsidRPr="00414802" w:rsidRDefault="003B41C3" w:rsidP="003B41C3">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126CD32" w14:textId="77777777" w:rsidR="003B41C3" w:rsidRPr="00414802" w:rsidRDefault="003B41C3" w:rsidP="003B41C3">
            <w:pPr>
              <w:spacing w:line="0" w:lineRule="atLeast"/>
              <w:rPr>
                <w:sz w:val="18"/>
                <w:szCs w:val="18"/>
              </w:rPr>
            </w:pPr>
            <w:r w:rsidRPr="00414802">
              <w:rPr>
                <w:sz w:val="18"/>
                <w:szCs w:val="18"/>
              </w:rPr>
              <w:t>Mesa Interinstitucional</w:t>
            </w:r>
          </w:p>
        </w:tc>
      </w:tr>
      <w:tr w:rsidR="003B41C3" w:rsidRPr="00C65C55" w14:paraId="1463D1D7"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4770581A" w14:textId="77777777" w:rsidR="003B41C3" w:rsidRPr="00414802" w:rsidRDefault="003B41C3" w:rsidP="003B41C3">
            <w:pPr>
              <w:rPr>
                <w:b/>
                <w:sz w:val="18"/>
                <w:szCs w:val="18"/>
              </w:rPr>
            </w:pPr>
            <w:r w:rsidRPr="00414802">
              <w:rPr>
                <w:b/>
                <w:sz w:val="18"/>
                <w:szCs w:val="18"/>
              </w:rPr>
              <w:t>23</w:t>
            </w:r>
          </w:p>
        </w:tc>
        <w:tc>
          <w:tcPr>
            <w:tcW w:w="1700" w:type="dxa"/>
            <w:tcBorders>
              <w:top w:val="single" w:sz="4" w:space="0" w:color="auto"/>
              <w:left w:val="single" w:sz="4" w:space="0" w:color="auto"/>
              <w:bottom w:val="single" w:sz="4" w:space="0" w:color="auto"/>
              <w:right w:val="single" w:sz="4" w:space="0" w:color="auto"/>
            </w:tcBorders>
          </w:tcPr>
          <w:p w14:paraId="3BF0C0BA" w14:textId="77777777" w:rsidR="003B41C3" w:rsidRPr="00414802" w:rsidRDefault="003B41C3" w:rsidP="003B41C3">
            <w:pPr>
              <w:spacing w:line="0" w:lineRule="atLeast"/>
              <w:rPr>
                <w:sz w:val="18"/>
                <w:szCs w:val="18"/>
              </w:rPr>
            </w:pPr>
            <w:r w:rsidRPr="00414802">
              <w:rPr>
                <w:sz w:val="18"/>
                <w:szCs w:val="18"/>
              </w:rPr>
              <w:t xml:space="preserve">Acción de Grupo </w:t>
            </w:r>
          </w:p>
          <w:p w14:paraId="1E1E6CE6" w14:textId="77777777" w:rsidR="003B41C3" w:rsidRPr="00414802" w:rsidRDefault="003B41C3" w:rsidP="003B41C3">
            <w:pPr>
              <w:spacing w:line="0" w:lineRule="atLeast"/>
              <w:rPr>
                <w:sz w:val="18"/>
                <w:szCs w:val="18"/>
              </w:rPr>
            </w:pPr>
          </w:p>
        </w:tc>
        <w:tc>
          <w:tcPr>
            <w:tcW w:w="2525" w:type="dxa"/>
            <w:tcBorders>
              <w:top w:val="single" w:sz="4" w:space="0" w:color="auto"/>
              <w:left w:val="single" w:sz="4" w:space="0" w:color="auto"/>
              <w:bottom w:val="single" w:sz="4" w:space="0" w:color="auto"/>
              <w:right w:val="single" w:sz="4" w:space="0" w:color="auto"/>
            </w:tcBorders>
            <w:hideMark/>
          </w:tcPr>
          <w:p w14:paraId="1044786B" w14:textId="77777777" w:rsidR="003B41C3" w:rsidRPr="00414802" w:rsidRDefault="003B41C3" w:rsidP="003B41C3">
            <w:pPr>
              <w:rPr>
                <w:sz w:val="18"/>
                <w:szCs w:val="18"/>
              </w:rPr>
            </w:pPr>
            <w:r w:rsidRPr="00414802">
              <w:rPr>
                <w:sz w:val="18"/>
                <w:szCs w:val="18"/>
              </w:rPr>
              <w:t>Superintendencia Financiera y Otros</w:t>
            </w:r>
          </w:p>
        </w:tc>
        <w:tc>
          <w:tcPr>
            <w:tcW w:w="2126" w:type="dxa"/>
            <w:tcBorders>
              <w:top w:val="single" w:sz="4" w:space="0" w:color="auto"/>
              <w:left w:val="single" w:sz="4" w:space="0" w:color="auto"/>
              <w:bottom w:val="single" w:sz="4" w:space="0" w:color="auto"/>
              <w:right w:val="single" w:sz="4" w:space="0" w:color="auto"/>
            </w:tcBorders>
          </w:tcPr>
          <w:p w14:paraId="2DCC5193" w14:textId="77777777" w:rsidR="003B41C3" w:rsidRPr="00414802" w:rsidRDefault="003B41C3" w:rsidP="003B41C3">
            <w:pPr>
              <w:spacing w:line="0" w:lineRule="atLeast"/>
              <w:rPr>
                <w:sz w:val="18"/>
                <w:szCs w:val="18"/>
              </w:rPr>
            </w:pPr>
            <w:r w:rsidRPr="00414802">
              <w:rPr>
                <w:sz w:val="18"/>
                <w:szCs w:val="18"/>
              </w:rPr>
              <w:t>$1.047.059.244.896</w:t>
            </w:r>
          </w:p>
          <w:p w14:paraId="126250CB" w14:textId="77777777" w:rsidR="003B41C3" w:rsidRPr="00414802" w:rsidRDefault="003B41C3" w:rsidP="003B41C3">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C22DCC" w14:textId="77777777" w:rsidR="003B41C3" w:rsidRPr="00414802" w:rsidRDefault="003B41C3" w:rsidP="003B41C3">
            <w:pPr>
              <w:spacing w:line="0" w:lineRule="atLeast"/>
              <w:rPr>
                <w:sz w:val="18"/>
                <w:szCs w:val="18"/>
              </w:rPr>
            </w:pPr>
            <w:r w:rsidRPr="00414802">
              <w:rPr>
                <w:sz w:val="18"/>
                <w:szCs w:val="18"/>
              </w:rPr>
              <w:t>Mesa Interinstitucional</w:t>
            </w:r>
          </w:p>
        </w:tc>
      </w:tr>
      <w:tr w:rsidR="003B41C3" w:rsidRPr="00C65C55" w14:paraId="22EE811E"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5475D9B4" w14:textId="77777777" w:rsidR="003B41C3" w:rsidRPr="00414802" w:rsidRDefault="003B41C3" w:rsidP="003B41C3">
            <w:pPr>
              <w:rPr>
                <w:b/>
                <w:sz w:val="18"/>
                <w:szCs w:val="18"/>
              </w:rPr>
            </w:pPr>
            <w:r w:rsidRPr="00414802">
              <w:rPr>
                <w:b/>
                <w:sz w:val="18"/>
                <w:szCs w:val="18"/>
              </w:rPr>
              <w:t>24</w:t>
            </w:r>
          </w:p>
        </w:tc>
        <w:tc>
          <w:tcPr>
            <w:tcW w:w="1700" w:type="dxa"/>
            <w:tcBorders>
              <w:top w:val="single" w:sz="4" w:space="0" w:color="auto"/>
              <w:left w:val="single" w:sz="4" w:space="0" w:color="auto"/>
              <w:bottom w:val="single" w:sz="4" w:space="0" w:color="auto"/>
              <w:right w:val="single" w:sz="4" w:space="0" w:color="auto"/>
            </w:tcBorders>
            <w:hideMark/>
          </w:tcPr>
          <w:p w14:paraId="482DBBDC" w14:textId="77777777" w:rsidR="003B41C3" w:rsidRPr="00414802" w:rsidRDefault="003B41C3" w:rsidP="003B41C3">
            <w:pPr>
              <w:spacing w:line="0" w:lineRule="atLeast"/>
              <w:jc w:val="both"/>
              <w:rPr>
                <w:sz w:val="18"/>
                <w:szCs w:val="18"/>
              </w:rPr>
            </w:pPr>
            <w:r w:rsidRPr="00414802">
              <w:rPr>
                <w:sz w:val="18"/>
                <w:szCs w:val="18"/>
              </w:rPr>
              <w:t xml:space="preserve">Acción Nulidad Restablecimiento Derecho </w:t>
            </w:r>
          </w:p>
        </w:tc>
        <w:tc>
          <w:tcPr>
            <w:tcW w:w="2525" w:type="dxa"/>
            <w:tcBorders>
              <w:top w:val="single" w:sz="4" w:space="0" w:color="auto"/>
              <w:left w:val="single" w:sz="4" w:space="0" w:color="auto"/>
              <w:bottom w:val="single" w:sz="4" w:space="0" w:color="auto"/>
              <w:right w:val="single" w:sz="4" w:space="0" w:color="auto"/>
            </w:tcBorders>
            <w:hideMark/>
          </w:tcPr>
          <w:p w14:paraId="1D8CCF39" w14:textId="77777777" w:rsidR="003B41C3" w:rsidRPr="00414802" w:rsidRDefault="003B41C3" w:rsidP="003B41C3">
            <w:pPr>
              <w:rPr>
                <w:sz w:val="18"/>
                <w:szCs w:val="18"/>
              </w:rPr>
            </w:pPr>
            <w:r w:rsidRPr="00414802">
              <w:rPr>
                <w:sz w:val="18"/>
                <w:szCs w:val="18"/>
              </w:rPr>
              <w:t>ANLA</w:t>
            </w:r>
          </w:p>
        </w:tc>
        <w:tc>
          <w:tcPr>
            <w:tcW w:w="2126" w:type="dxa"/>
            <w:tcBorders>
              <w:top w:val="single" w:sz="4" w:space="0" w:color="auto"/>
              <w:left w:val="single" w:sz="4" w:space="0" w:color="auto"/>
              <w:bottom w:val="single" w:sz="4" w:space="0" w:color="auto"/>
              <w:right w:val="single" w:sz="4" w:space="0" w:color="auto"/>
            </w:tcBorders>
          </w:tcPr>
          <w:p w14:paraId="3DF6918D" w14:textId="77777777" w:rsidR="003B41C3" w:rsidRPr="00414802" w:rsidRDefault="003B41C3" w:rsidP="003B41C3">
            <w:pPr>
              <w:spacing w:line="0" w:lineRule="atLeast"/>
              <w:jc w:val="both"/>
              <w:rPr>
                <w:sz w:val="18"/>
                <w:szCs w:val="18"/>
              </w:rPr>
            </w:pPr>
            <w:r w:rsidRPr="00414802">
              <w:rPr>
                <w:sz w:val="18"/>
                <w:szCs w:val="18"/>
              </w:rPr>
              <w:t>$855.675.782.520</w:t>
            </w:r>
          </w:p>
          <w:p w14:paraId="373AB1E1" w14:textId="77777777" w:rsidR="003B41C3" w:rsidRPr="00414802" w:rsidRDefault="003B41C3" w:rsidP="003B41C3">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1C6CE8A" w14:textId="77777777" w:rsidR="003B41C3" w:rsidRPr="00414802" w:rsidRDefault="003B41C3" w:rsidP="003B41C3">
            <w:pPr>
              <w:spacing w:line="0" w:lineRule="atLeast"/>
              <w:jc w:val="both"/>
              <w:rPr>
                <w:sz w:val="18"/>
                <w:szCs w:val="18"/>
              </w:rPr>
            </w:pPr>
            <w:r w:rsidRPr="00414802">
              <w:rPr>
                <w:sz w:val="18"/>
                <w:szCs w:val="18"/>
              </w:rPr>
              <w:t>Rendición Informe</w:t>
            </w:r>
          </w:p>
        </w:tc>
      </w:tr>
      <w:tr w:rsidR="003B41C3" w:rsidRPr="00C65C55" w14:paraId="27B586EB"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2DC0E7A" w14:textId="77777777" w:rsidR="003B41C3" w:rsidRPr="00526DDC" w:rsidRDefault="003B41C3" w:rsidP="003B41C3">
            <w:pPr>
              <w:rPr>
                <w:b/>
                <w:sz w:val="20"/>
                <w:szCs w:val="20"/>
              </w:rPr>
            </w:pPr>
            <w:r w:rsidRPr="00526DDC">
              <w:rPr>
                <w:b/>
                <w:sz w:val="20"/>
                <w:szCs w:val="20"/>
              </w:rPr>
              <w:t>25</w:t>
            </w:r>
          </w:p>
        </w:tc>
        <w:tc>
          <w:tcPr>
            <w:tcW w:w="1700" w:type="dxa"/>
            <w:tcBorders>
              <w:top w:val="single" w:sz="4" w:space="0" w:color="auto"/>
              <w:left w:val="single" w:sz="4" w:space="0" w:color="auto"/>
              <w:bottom w:val="single" w:sz="4" w:space="0" w:color="auto"/>
              <w:right w:val="single" w:sz="4" w:space="0" w:color="auto"/>
            </w:tcBorders>
          </w:tcPr>
          <w:p w14:paraId="3F242919" w14:textId="77777777" w:rsidR="003B41C3" w:rsidRPr="00526DDC" w:rsidRDefault="003B41C3" w:rsidP="003B41C3">
            <w:pPr>
              <w:spacing w:line="0" w:lineRule="atLeast"/>
              <w:rPr>
                <w:sz w:val="20"/>
                <w:szCs w:val="20"/>
              </w:rPr>
            </w:pPr>
            <w:r w:rsidRPr="00526DDC">
              <w:rPr>
                <w:sz w:val="20"/>
                <w:szCs w:val="20"/>
              </w:rPr>
              <w:t xml:space="preserve">Acción de Grupo </w:t>
            </w:r>
          </w:p>
          <w:p w14:paraId="6949888F" w14:textId="77777777" w:rsidR="003B41C3" w:rsidRPr="00526DDC" w:rsidRDefault="003B41C3" w:rsidP="003B41C3">
            <w:pPr>
              <w:rPr>
                <w:sz w:val="20"/>
                <w:szCs w:val="20"/>
              </w:rPr>
            </w:pPr>
          </w:p>
        </w:tc>
        <w:tc>
          <w:tcPr>
            <w:tcW w:w="2525" w:type="dxa"/>
            <w:tcBorders>
              <w:top w:val="single" w:sz="4" w:space="0" w:color="auto"/>
              <w:left w:val="single" w:sz="4" w:space="0" w:color="auto"/>
              <w:bottom w:val="single" w:sz="4" w:space="0" w:color="auto"/>
              <w:right w:val="single" w:sz="4" w:space="0" w:color="auto"/>
            </w:tcBorders>
            <w:hideMark/>
          </w:tcPr>
          <w:p w14:paraId="4508C60B" w14:textId="77777777" w:rsidR="003B41C3" w:rsidRPr="00526DDC" w:rsidRDefault="003B41C3" w:rsidP="003B41C3">
            <w:pPr>
              <w:rPr>
                <w:sz w:val="20"/>
                <w:szCs w:val="20"/>
              </w:rPr>
            </w:pPr>
            <w:r w:rsidRPr="00526DDC">
              <w:rPr>
                <w:sz w:val="20"/>
                <w:szCs w:val="20"/>
              </w:rPr>
              <w:t>Superintendencia Financiera y Otros</w:t>
            </w:r>
          </w:p>
        </w:tc>
        <w:tc>
          <w:tcPr>
            <w:tcW w:w="2126" w:type="dxa"/>
            <w:tcBorders>
              <w:top w:val="single" w:sz="4" w:space="0" w:color="auto"/>
              <w:left w:val="single" w:sz="4" w:space="0" w:color="auto"/>
              <w:bottom w:val="single" w:sz="4" w:space="0" w:color="auto"/>
              <w:right w:val="single" w:sz="4" w:space="0" w:color="auto"/>
            </w:tcBorders>
            <w:hideMark/>
          </w:tcPr>
          <w:p w14:paraId="7CA263A4" w14:textId="77777777" w:rsidR="003B41C3" w:rsidRPr="00526DDC" w:rsidRDefault="003B41C3" w:rsidP="003B41C3">
            <w:pPr>
              <w:rPr>
                <w:sz w:val="20"/>
                <w:szCs w:val="20"/>
              </w:rPr>
            </w:pPr>
            <w:r w:rsidRPr="00526DDC">
              <w:rPr>
                <w:sz w:val="20"/>
                <w:szCs w:val="20"/>
              </w:rPr>
              <w:t>$894.528.000.000</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CD58E00" w14:textId="77777777" w:rsidR="003B41C3" w:rsidRPr="00526DDC" w:rsidRDefault="003B41C3" w:rsidP="003B41C3">
            <w:pPr>
              <w:rPr>
                <w:sz w:val="20"/>
                <w:szCs w:val="20"/>
              </w:rPr>
            </w:pPr>
            <w:r w:rsidRPr="00526DDC">
              <w:rPr>
                <w:sz w:val="20"/>
                <w:szCs w:val="20"/>
              </w:rPr>
              <w:t>Mesa Interinstitucional</w:t>
            </w:r>
          </w:p>
        </w:tc>
      </w:tr>
    </w:tbl>
    <w:p w14:paraId="012691F9" w14:textId="64A1F052" w:rsidR="00024165" w:rsidRPr="00EE7842" w:rsidRDefault="00024165" w:rsidP="00024165">
      <w:pPr>
        <w:ind w:right="-283"/>
        <w:jc w:val="center"/>
        <w:rPr>
          <w:rFonts w:cs="Arial"/>
          <w:b/>
          <w:sz w:val="20"/>
          <w:szCs w:val="20"/>
        </w:rPr>
      </w:pPr>
      <w:r w:rsidRPr="009915EB">
        <w:rPr>
          <w:rFonts w:cs="Arial"/>
          <w:b/>
          <w:sz w:val="18"/>
          <w:szCs w:val="18"/>
        </w:rPr>
        <w:t xml:space="preserve">Fuente: Sistema Único de Gestión e </w:t>
      </w:r>
      <w:r w:rsidRPr="00284617">
        <w:rPr>
          <w:rFonts w:cs="Arial"/>
          <w:b/>
          <w:sz w:val="18"/>
          <w:szCs w:val="18"/>
        </w:rPr>
        <w:t>Información de la Act</w:t>
      </w:r>
      <w:r>
        <w:rPr>
          <w:rFonts w:cs="Arial"/>
          <w:b/>
          <w:sz w:val="18"/>
          <w:szCs w:val="18"/>
        </w:rPr>
        <w:t xml:space="preserve">ividad Litigiosa del Estado (Abril </w:t>
      </w:r>
      <w:r w:rsidRPr="00284617">
        <w:rPr>
          <w:rFonts w:cs="Arial"/>
          <w:b/>
          <w:sz w:val="18"/>
          <w:szCs w:val="18"/>
        </w:rPr>
        <w:t xml:space="preserve">de 2013). </w:t>
      </w:r>
      <w:r>
        <w:rPr>
          <w:rFonts w:cs="Arial"/>
          <w:b/>
          <w:sz w:val="18"/>
          <w:szCs w:val="18"/>
        </w:rPr>
        <w:t>Gestiones</w:t>
      </w:r>
      <w:r w:rsidRPr="00284617">
        <w:rPr>
          <w:rFonts w:cs="Arial"/>
          <w:b/>
          <w:sz w:val="18"/>
          <w:szCs w:val="18"/>
        </w:rPr>
        <w:t xml:space="preserve">: </w:t>
      </w:r>
      <w:r>
        <w:rPr>
          <w:rFonts w:cs="Arial"/>
          <w:b/>
          <w:sz w:val="18"/>
          <w:szCs w:val="18"/>
        </w:rPr>
        <w:t>DDJ</w:t>
      </w:r>
      <w:r w:rsidRPr="0060006B">
        <w:rPr>
          <w:rFonts w:cs="Arial"/>
          <w:b/>
          <w:sz w:val="18"/>
          <w:szCs w:val="18"/>
        </w:rPr>
        <w:t>-ANDJE</w:t>
      </w:r>
    </w:p>
    <w:p w14:paraId="7A05B504" w14:textId="77777777" w:rsidR="003B41C3" w:rsidRDefault="003B41C3" w:rsidP="003B41C3">
      <w:pPr>
        <w:pStyle w:val="Prrafodelista"/>
        <w:spacing w:line="264" w:lineRule="auto"/>
        <w:ind w:left="142" w:right="-283"/>
        <w:jc w:val="both"/>
        <w:rPr>
          <w:rFonts w:eastAsia="SimSun" w:cs="Tahoma"/>
          <w:b/>
          <w:noProof/>
          <w:lang w:val="es-CO" w:eastAsia="ja-JP"/>
        </w:rPr>
      </w:pPr>
    </w:p>
    <w:p w14:paraId="47FE5DE1" w14:textId="77777777" w:rsidR="003B41C3" w:rsidRDefault="003B41C3" w:rsidP="003B41C3">
      <w:pPr>
        <w:pStyle w:val="Prrafodelista"/>
        <w:spacing w:line="264" w:lineRule="auto"/>
        <w:ind w:left="142" w:right="-283"/>
        <w:jc w:val="both"/>
        <w:rPr>
          <w:rFonts w:eastAsia="SimSun" w:cs="Tahoma"/>
          <w:b/>
          <w:noProof/>
          <w:lang w:val="es-CO" w:eastAsia="ja-JP"/>
        </w:rPr>
      </w:pPr>
    </w:p>
    <w:p w14:paraId="04644B4C" w14:textId="77777777" w:rsidR="003B41C3" w:rsidRPr="00E46994" w:rsidRDefault="003B41C3" w:rsidP="003B41C3">
      <w:pPr>
        <w:pStyle w:val="Prrafodelista"/>
        <w:numPr>
          <w:ilvl w:val="2"/>
          <w:numId w:val="63"/>
        </w:numPr>
        <w:spacing w:line="264" w:lineRule="auto"/>
        <w:ind w:right="-283"/>
        <w:jc w:val="both"/>
        <w:rPr>
          <w:rFonts w:eastAsia="SimSun" w:cs="Tahoma"/>
          <w:b/>
          <w:noProof/>
          <w:lang w:val="es-CO" w:eastAsia="ja-JP"/>
        </w:rPr>
      </w:pPr>
      <w:r w:rsidRPr="00E46994">
        <w:rPr>
          <w:rFonts w:eastAsia="SimSun" w:cs="Tahoma"/>
          <w:b/>
          <w:noProof/>
          <w:lang w:val="es-CO" w:eastAsia="ja-JP"/>
        </w:rPr>
        <w:t xml:space="preserve"> Análisis del Riesgo de Condena de los 25 Procesos más cuantiosos:</w:t>
      </w:r>
    </w:p>
    <w:p w14:paraId="16A94BD3" w14:textId="77777777" w:rsidR="003B41C3" w:rsidRDefault="003B41C3" w:rsidP="003B41C3">
      <w:pPr>
        <w:spacing w:line="264" w:lineRule="auto"/>
        <w:ind w:right="-283"/>
        <w:contextualSpacing/>
        <w:jc w:val="both"/>
        <w:rPr>
          <w:rFonts w:eastAsia="SimSun" w:cs="Tahoma"/>
          <w:noProof/>
          <w:lang w:val="es-CO" w:eastAsia="ja-JP"/>
        </w:rPr>
      </w:pPr>
      <w:r>
        <w:rPr>
          <w:rFonts w:eastAsia="SimSun" w:cs="Tahoma"/>
          <w:noProof/>
          <w:lang w:val="es-CO" w:eastAsia="ja-JP"/>
        </w:rPr>
        <w:t xml:space="preserve">Se efectuó un análisis del riesgo de condena de </w:t>
      </w:r>
      <w:r w:rsidRPr="00C65C55">
        <w:rPr>
          <w:rFonts w:eastAsia="SimSun" w:cs="Tahoma"/>
          <w:noProof/>
          <w:lang w:val="es-CO" w:eastAsia="ja-JP"/>
        </w:rPr>
        <w:t>los 25 procesos más cuantiosos</w:t>
      </w:r>
      <w:r>
        <w:rPr>
          <w:rFonts w:eastAsia="SimSun" w:cs="Tahoma"/>
          <w:noProof/>
          <w:lang w:val="es-CO" w:eastAsia="ja-JP"/>
        </w:rPr>
        <w:t xml:space="preserve"> y se llegó a las siguientes conclusiones:</w:t>
      </w:r>
    </w:p>
    <w:p w14:paraId="77CE8D61" w14:textId="77777777" w:rsidR="003B41C3" w:rsidRDefault="003B41C3" w:rsidP="003B41C3">
      <w:pPr>
        <w:spacing w:line="264" w:lineRule="auto"/>
        <w:ind w:left="142" w:right="-283"/>
        <w:contextualSpacing/>
        <w:jc w:val="both"/>
        <w:rPr>
          <w:rFonts w:eastAsia="SimSun" w:cs="Tahoma"/>
          <w:noProof/>
          <w:lang w:val="es-CO" w:eastAsia="ja-JP"/>
        </w:rPr>
      </w:pPr>
    </w:p>
    <w:p w14:paraId="4A12B720" w14:textId="77777777" w:rsidR="003B41C3" w:rsidRPr="00E46994" w:rsidRDefault="003B41C3" w:rsidP="003B41C3">
      <w:pPr>
        <w:pStyle w:val="Prrafodelista"/>
        <w:numPr>
          <w:ilvl w:val="3"/>
          <w:numId w:val="63"/>
        </w:numPr>
        <w:spacing w:line="264" w:lineRule="auto"/>
        <w:ind w:right="-283"/>
        <w:jc w:val="both"/>
        <w:rPr>
          <w:rFonts w:eastAsia="SimSun" w:cs="Tahoma"/>
          <w:b/>
          <w:noProof/>
          <w:lang w:val="es-CO" w:eastAsia="ja-JP"/>
        </w:rPr>
      </w:pPr>
      <w:r w:rsidRPr="00E46994">
        <w:rPr>
          <w:rFonts w:eastAsia="SimSun" w:cs="Tahoma"/>
          <w:b/>
          <w:noProof/>
          <w:lang w:val="es-CO" w:eastAsia="ja-JP"/>
        </w:rPr>
        <w:t>Procesos con riesgo ALTO.-</w:t>
      </w:r>
    </w:p>
    <w:p w14:paraId="4B082E40" w14:textId="77777777" w:rsidR="003B41C3" w:rsidRPr="00C65C55" w:rsidRDefault="003B41C3" w:rsidP="003B41C3">
      <w:pPr>
        <w:spacing w:line="264" w:lineRule="auto"/>
        <w:ind w:right="-283"/>
        <w:contextualSpacing/>
        <w:jc w:val="both"/>
        <w:rPr>
          <w:rFonts w:eastAsia="SimSun" w:cs="Tahoma"/>
          <w:noProof/>
          <w:lang w:val="es-CO" w:eastAsia="ja-JP"/>
        </w:rPr>
      </w:pPr>
      <w:r>
        <w:rPr>
          <w:rFonts w:eastAsia="SimSun" w:cs="Tahoma"/>
          <w:noProof/>
          <w:lang w:val="es-CO" w:eastAsia="ja-JP"/>
        </w:rPr>
        <w:t xml:space="preserve">En un solo proceso el riesgo de condena es </w:t>
      </w:r>
      <w:r w:rsidRPr="009A06B9">
        <w:rPr>
          <w:rFonts w:eastAsia="SimSun" w:cs="Tahoma"/>
          <w:b/>
          <w:noProof/>
          <w:lang w:val="es-CO" w:eastAsia="ja-JP"/>
        </w:rPr>
        <w:t>ALTO,</w:t>
      </w:r>
      <w:r>
        <w:rPr>
          <w:rFonts w:eastAsia="SimSun" w:cs="Tahoma"/>
          <w:noProof/>
          <w:lang w:val="es-CO" w:eastAsia="ja-JP"/>
        </w:rPr>
        <w:t xml:space="preserve"> esto es, en la A</w:t>
      </w:r>
      <w:r w:rsidRPr="00C65C55">
        <w:rPr>
          <w:rFonts w:eastAsia="SimSun" w:cs="Tahoma"/>
          <w:noProof/>
          <w:lang w:val="es-CO" w:eastAsia="ja-JP"/>
        </w:rPr>
        <w:t>cción de Grupo contra el Ministerio de Defensa Nacional/Policía Nacional y otros por los perjuicios sufridos por una comunidad del Cauca afectada por asperciones aéreas con glifosato.</w:t>
      </w:r>
    </w:p>
    <w:p w14:paraId="13E32F1C" w14:textId="77777777" w:rsidR="003B41C3" w:rsidRPr="00C65C55" w:rsidRDefault="003B41C3" w:rsidP="003B41C3">
      <w:pPr>
        <w:spacing w:line="264" w:lineRule="auto"/>
        <w:ind w:right="-283"/>
        <w:contextualSpacing/>
        <w:jc w:val="both"/>
        <w:rPr>
          <w:rFonts w:eastAsia="SimSun" w:cs="Tahoma"/>
          <w:noProof/>
          <w:lang w:val="es-CO" w:eastAsia="ja-JP"/>
        </w:rPr>
      </w:pPr>
    </w:p>
    <w:p w14:paraId="0D930131" w14:textId="77777777" w:rsidR="003B41C3" w:rsidRPr="00C65C55" w:rsidRDefault="003B41C3" w:rsidP="003B41C3">
      <w:pPr>
        <w:spacing w:line="264" w:lineRule="auto"/>
        <w:ind w:right="-283"/>
        <w:contextualSpacing/>
        <w:jc w:val="both"/>
        <w:rPr>
          <w:rFonts w:eastAsia="SimSun" w:cs="Tahoma"/>
          <w:noProof/>
          <w:lang w:val="es-CO" w:eastAsia="ja-JP"/>
        </w:rPr>
      </w:pPr>
      <w:r>
        <w:rPr>
          <w:rFonts w:eastAsia="SimSun" w:cs="Tahoma"/>
          <w:noProof/>
          <w:lang w:val="es-CO" w:eastAsia="ja-JP"/>
        </w:rPr>
        <w:t xml:space="preserve">Este caso se </w:t>
      </w:r>
      <w:r w:rsidRPr="00C65C55">
        <w:rPr>
          <w:rFonts w:eastAsia="SimSun" w:cs="Tahoma"/>
          <w:noProof/>
          <w:lang w:val="es-CO" w:eastAsia="ja-JP"/>
        </w:rPr>
        <w:t>consideró alto el riesgo de condena debido a los precedentes jurisprudenciales que existen sobre la matería, al acuerdo transaccional al que se llegó con el Gobierno del Ecuador y algunas circunstancias particulares del proceso.  Por esta razón, la Agencia convocó al Ministerio de Defensa Nacional y a la Polic</w:t>
      </w:r>
      <w:r>
        <w:rPr>
          <w:rFonts w:eastAsia="SimSun" w:cs="Tahoma"/>
          <w:noProof/>
          <w:lang w:val="es-CO" w:eastAsia="ja-JP"/>
        </w:rPr>
        <w:t>ía</w:t>
      </w:r>
      <w:r w:rsidRPr="00C65C55">
        <w:rPr>
          <w:rFonts w:eastAsia="SimSun" w:cs="Tahoma"/>
          <w:noProof/>
          <w:lang w:val="es-CO" w:eastAsia="ja-JP"/>
        </w:rPr>
        <w:t xml:space="preserve"> Nacional a una mesa de trabajo, con el propósito de compartir el análisis efectuado y explorar la posibilidad de proponer una conciliación con los afectados.</w:t>
      </w:r>
    </w:p>
    <w:p w14:paraId="5BA17B3B" w14:textId="77777777" w:rsidR="003B41C3" w:rsidRPr="00C65C55" w:rsidRDefault="003B41C3" w:rsidP="003B41C3">
      <w:pPr>
        <w:spacing w:line="264" w:lineRule="auto"/>
        <w:ind w:right="-283"/>
        <w:contextualSpacing/>
        <w:jc w:val="both"/>
        <w:rPr>
          <w:rFonts w:eastAsia="SimSun" w:cs="Tahoma"/>
          <w:noProof/>
          <w:lang w:val="es-CO" w:eastAsia="ja-JP"/>
        </w:rPr>
      </w:pPr>
    </w:p>
    <w:p w14:paraId="5D017CBE" w14:textId="77777777" w:rsidR="003B41C3" w:rsidRPr="00C65C55" w:rsidRDefault="003B41C3" w:rsidP="003B41C3">
      <w:pPr>
        <w:spacing w:line="264" w:lineRule="auto"/>
        <w:ind w:right="-283"/>
        <w:contextualSpacing/>
        <w:jc w:val="both"/>
        <w:rPr>
          <w:rFonts w:eastAsia="SimSun" w:cs="Tahoma"/>
          <w:noProof/>
          <w:lang w:val="es-CO" w:eastAsia="ja-JP"/>
        </w:rPr>
      </w:pPr>
      <w:r w:rsidRPr="00C65C55">
        <w:rPr>
          <w:rFonts w:eastAsia="SimSun" w:cs="Tahoma"/>
          <w:noProof/>
          <w:lang w:val="es-CO" w:eastAsia="ja-JP"/>
        </w:rPr>
        <w:t>Debido a que la fumigación de cultivos ilícitos es una política de Estado para procurar su erradicación y que por lo tanto tiene una  amplia influencia a nivel de cooperación internacional, el Ministerio de Defensa estudia detenidamente el caso.  La Agencia por su parte, emprenderá un estudio conjuntamente con dicho Ministerio para controvertir la cuantía del perjuicio alegado en el proceso.</w:t>
      </w:r>
    </w:p>
    <w:p w14:paraId="1D1B7DF6" w14:textId="77777777" w:rsidR="003B41C3" w:rsidRPr="00E46994" w:rsidRDefault="003B41C3" w:rsidP="003B41C3">
      <w:pPr>
        <w:pStyle w:val="Prrafodelista"/>
        <w:numPr>
          <w:ilvl w:val="3"/>
          <w:numId w:val="63"/>
        </w:numPr>
        <w:spacing w:after="0"/>
        <w:ind w:right="-283"/>
        <w:jc w:val="both"/>
        <w:rPr>
          <w:rFonts w:eastAsia="SimSun" w:cs="Tahoma"/>
          <w:b/>
          <w:noProof/>
          <w:lang w:val="es-CO" w:eastAsia="ja-JP"/>
        </w:rPr>
      </w:pPr>
      <w:r w:rsidRPr="00E46994">
        <w:rPr>
          <w:rFonts w:eastAsia="SimSun" w:cs="Tahoma"/>
          <w:b/>
          <w:noProof/>
          <w:lang w:val="es-CO" w:eastAsia="ja-JP"/>
        </w:rPr>
        <w:t>Procesos con riesgo MEDIO.-</w:t>
      </w:r>
    </w:p>
    <w:p w14:paraId="42BC0049" w14:textId="77777777" w:rsidR="003B41C3" w:rsidRPr="00E46994" w:rsidRDefault="003B41C3" w:rsidP="003B41C3">
      <w:pPr>
        <w:pStyle w:val="Prrafodelista"/>
        <w:spacing w:after="0"/>
        <w:ind w:left="1080" w:right="-283"/>
        <w:jc w:val="both"/>
        <w:rPr>
          <w:rFonts w:eastAsia="SimSun" w:cs="Tahoma"/>
          <w:noProof/>
          <w:lang w:val="es-CO" w:eastAsia="ja-JP"/>
        </w:rPr>
      </w:pPr>
    </w:p>
    <w:p w14:paraId="4163DA05" w14:textId="77777777" w:rsidR="003B41C3" w:rsidRDefault="003B41C3" w:rsidP="003B41C3">
      <w:pPr>
        <w:spacing w:after="0"/>
        <w:ind w:right="-283"/>
        <w:contextualSpacing/>
        <w:jc w:val="both"/>
        <w:rPr>
          <w:rFonts w:eastAsia="SimSun" w:cs="Tahoma"/>
          <w:noProof/>
          <w:lang w:val="es-CO" w:eastAsia="ja-JP"/>
        </w:rPr>
      </w:pPr>
      <w:r>
        <w:rPr>
          <w:rFonts w:eastAsia="SimSun" w:cs="Tahoma"/>
          <w:noProof/>
          <w:lang w:val="es-CO" w:eastAsia="ja-JP"/>
        </w:rPr>
        <w:lastRenderedPageBreak/>
        <w:t xml:space="preserve">Por otra parte se </w:t>
      </w:r>
      <w:r w:rsidRPr="00C65C55">
        <w:rPr>
          <w:rFonts w:eastAsia="SimSun" w:cs="Tahoma"/>
          <w:noProof/>
          <w:lang w:val="es-CO" w:eastAsia="ja-JP"/>
        </w:rPr>
        <w:t xml:space="preserve">calificó de </w:t>
      </w:r>
      <w:r w:rsidRPr="009A06B9">
        <w:rPr>
          <w:rFonts w:eastAsia="SimSun" w:cs="Tahoma"/>
          <w:b/>
          <w:noProof/>
          <w:lang w:val="es-CO" w:eastAsia="ja-JP"/>
        </w:rPr>
        <w:t>MEDIA</w:t>
      </w:r>
      <w:r w:rsidRPr="00C65C55">
        <w:rPr>
          <w:rFonts w:eastAsia="SimSun" w:cs="Tahoma"/>
          <w:noProof/>
          <w:lang w:val="es-CO" w:eastAsia="ja-JP"/>
        </w:rPr>
        <w:t xml:space="preserve"> la probabilidad de condena en</w:t>
      </w:r>
      <w:r>
        <w:rPr>
          <w:rFonts w:eastAsia="SimSun" w:cs="Tahoma"/>
          <w:noProof/>
          <w:lang w:val="es-CO" w:eastAsia="ja-JP"/>
        </w:rPr>
        <w:t xml:space="preserve"> dos procesos</w:t>
      </w:r>
      <w:r w:rsidRPr="00C65C55">
        <w:rPr>
          <w:rFonts w:eastAsia="SimSun" w:cs="Tahoma"/>
          <w:noProof/>
          <w:lang w:val="es-CO" w:eastAsia="ja-JP"/>
        </w:rPr>
        <w:t>:</w:t>
      </w:r>
    </w:p>
    <w:p w14:paraId="2EAFC211" w14:textId="77777777" w:rsidR="003B41C3" w:rsidRPr="00C65C55" w:rsidRDefault="003B41C3" w:rsidP="003B41C3">
      <w:pPr>
        <w:spacing w:after="0"/>
        <w:ind w:right="-283"/>
        <w:contextualSpacing/>
        <w:jc w:val="both"/>
        <w:rPr>
          <w:rFonts w:eastAsia="SimSun" w:cs="Tahoma"/>
          <w:noProof/>
          <w:lang w:val="es-CO" w:eastAsia="ja-JP"/>
        </w:rPr>
      </w:pPr>
    </w:p>
    <w:p w14:paraId="27B4CE42" w14:textId="77777777" w:rsidR="003B41C3" w:rsidRPr="00C65C55" w:rsidRDefault="003B41C3" w:rsidP="003B41C3">
      <w:pPr>
        <w:spacing w:after="0"/>
        <w:ind w:right="-284"/>
        <w:jc w:val="both"/>
        <w:rPr>
          <w:rFonts w:eastAsia="SimSun" w:cs="Tahoma"/>
          <w:noProof/>
          <w:lang w:val="es-CO" w:eastAsia="ja-JP"/>
        </w:rPr>
      </w:pPr>
      <w:r w:rsidRPr="00E46994">
        <w:rPr>
          <w:rFonts w:eastAsia="SimSun" w:cs="Tahoma"/>
          <w:noProof/>
          <w:lang w:val="es-CO" w:eastAsia="ja-JP"/>
        </w:rPr>
        <w:t xml:space="preserve">La acción de grupo en contra de la </w:t>
      </w:r>
      <w:r w:rsidR="00C15372" w:rsidRPr="001F0049">
        <w:rPr>
          <w:rFonts w:eastAsia="SimSun" w:cs="Tahoma"/>
          <w:noProof/>
          <w:lang w:val="es-CO" w:eastAsia="ja-JP"/>
        </w:rPr>
        <w:t xml:space="preserve">Comisión de Regulación de Comunicaciones </w:t>
      </w:r>
      <w:r w:rsidRPr="001F0049">
        <w:rPr>
          <w:rFonts w:eastAsia="SimSun" w:cs="Tahoma"/>
          <w:noProof/>
          <w:lang w:val="es-CO" w:eastAsia="ja-JP"/>
        </w:rPr>
        <w:t xml:space="preserve">y </w:t>
      </w:r>
      <w:r w:rsidR="00C15372" w:rsidRPr="001F0049">
        <w:rPr>
          <w:rFonts w:eastAsia="SimSun" w:cs="Tahoma"/>
          <w:noProof/>
          <w:lang w:val="es-CO" w:eastAsia="ja-JP"/>
        </w:rPr>
        <w:t>el Ministerio de Tecnologías de la Información y las Comunicaciones</w:t>
      </w:r>
      <w:r w:rsidRPr="00E46994">
        <w:rPr>
          <w:rFonts w:eastAsia="SimSun" w:cs="Tahoma"/>
          <w:noProof/>
          <w:lang w:val="es-CO" w:eastAsia="ja-JP"/>
        </w:rPr>
        <w:t xml:space="preserve"> por los perjuicios causados por la supuesta falta de regulación de la tarifa de las llamadas de “fijo a móvil”.</w:t>
      </w:r>
      <w:r>
        <w:rPr>
          <w:rFonts w:eastAsia="SimSun" w:cs="Tahoma"/>
          <w:noProof/>
          <w:lang w:val="es-CO" w:eastAsia="ja-JP"/>
        </w:rPr>
        <w:t xml:space="preserve"> </w:t>
      </w:r>
      <w:r w:rsidRPr="00C65C55">
        <w:rPr>
          <w:rFonts w:eastAsia="SimSun" w:cs="Tahoma"/>
          <w:noProof/>
          <w:lang w:val="es-CO" w:eastAsia="ja-JP"/>
        </w:rPr>
        <w:t>Sin perjuicio de dicha calificación, es preciso anotar que en este proceso se declaró probada parcialmente la caducidad de la acción, al encontrarse que cuando la demanda fue interpuesta ya había transcurrido el término de dos años para una parte del periodo que abarca las pretensiones de la demanda.  Como consecuencia, siendo que el periodo comprendido en la demanda por el cobro abusivo de tarifas se extendía desde el 23 de noviembre de 1998 y hasta el 1º de noviembre de 2005, bien cabría alegar que la cuantía del eventual daño causado se redujo en un 65%.</w:t>
      </w:r>
    </w:p>
    <w:p w14:paraId="5E5989C6" w14:textId="77777777" w:rsidR="003B41C3" w:rsidRPr="00C65C55" w:rsidRDefault="003B41C3" w:rsidP="003B41C3">
      <w:pPr>
        <w:spacing w:after="0"/>
        <w:ind w:right="-284"/>
        <w:contextualSpacing/>
        <w:jc w:val="both"/>
        <w:rPr>
          <w:rFonts w:eastAsia="SimSun" w:cs="Tahoma"/>
          <w:noProof/>
          <w:lang w:val="es-CO" w:eastAsia="ja-JP"/>
        </w:rPr>
      </w:pPr>
    </w:p>
    <w:p w14:paraId="2C075BEE" w14:textId="77777777" w:rsidR="003B41C3" w:rsidRPr="00C65C55" w:rsidRDefault="003B41C3" w:rsidP="003B41C3">
      <w:pPr>
        <w:spacing w:after="0"/>
        <w:ind w:right="-284"/>
        <w:contextualSpacing/>
        <w:jc w:val="both"/>
        <w:rPr>
          <w:rFonts w:eastAsia="SimSun" w:cs="Tahoma"/>
          <w:noProof/>
          <w:lang w:val="es-CO" w:eastAsia="ja-JP"/>
        </w:rPr>
      </w:pPr>
      <w:r w:rsidRPr="00C65C55">
        <w:rPr>
          <w:rFonts w:eastAsia="SimSun" w:cs="Tahoma"/>
          <w:noProof/>
          <w:lang w:val="es-CO" w:eastAsia="ja-JP"/>
        </w:rPr>
        <w:t>En este proceso la Agencia creó una Mesa Interinstitucional a través de la cual se direcciona una defensa coherente de las dos entidades.</w:t>
      </w:r>
    </w:p>
    <w:p w14:paraId="315E7BA0" w14:textId="77777777" w:rsidR="003B41C3" w:rsidRDefault="003B41C3" w:rsidP="003B41C3">
      <w:pPr>
        <w:spacing w:after="0"/>
        <w:ind w:right="-284"/>
        <w:jc w:val="both"/>
        <w:rPr>
          <w:rFonts w:eastAsia="SimSun" w:cs="Tahoma"/>
          <w:noProof/>
          <w:lang w:val="es-CO" w:eastAsia="ja-JP"/>
        </w:rPr>
      </w:pPr>
    </w:p>
    <w:p w14:paraId="10B96B84" w14:textId="77777777" w:rsidR="003B41C3" w:rsidRPr="00E46994" w:rsidRDefault="003B41C3" w:rsidP="003B41C3">
      <w:pPr>
        <w:spacing w:after="0"/>
        <w:ind w:right="-284"/>
        <w:jc w:val="both"/>
        <w:rPr>
          <w:rFonts w:eastAsia="SimSun" w:cs="Tahoma"/>
          <w:noProof/>
          <w:lang w:val="es-CO" w:eastAsia="ja-JP"/>
        </w:rPr>
      </w:pPr>
      <w:r w:rsidRPr="00E46994">
        <w:rPr>
          <w:rFonts w:eastAsia="SimSun" w:cs="Tahoma"/>
          <w:noProof/>
          <w:lang w:val="es-CO" w:eastAsia="ja-JP"/>
        </w:rPr>
        <w:t>También se calificó de MEDIA la probabilidad de condena en la acción de Nulidad y Restablecimiento del Derecho contra la ANLA derivada de obligaciones impuestas a American Port Co. (Drummond) en la operación de un puerto carbonífero en Santa Marta.</w:t>
      </w:r>
    </w:p>
    <w:p w14:paraId="345E57E2" w14:textId="77777777" w:rsidR="003B41C3" w:rsidRPr="00C65C55" w:rsidRDefault="003B41C3" w:rsidP="003B41C3">
      <w:pPr>
        <w:spacing w:after="0"/>
        <w:ind w:right="-284"/>
        <w:contextualSpacing/>
        <w:jc w:val="both"/>
        <w:rPr>
          <w:rFonts w:eastAsia="SimSun" w:cs="Tahoma"/>
          <w:noProof/>
          <w:lang w:val="es-CO" w:eastAsia="ja-JP"/>
        </w:rPr>
      </w:pPr>
      <w:r w:rsidRPr="00C65C55">
        <w:rPr>
          <w:rFonts w:eastAsia="SimSun" w:cs="Tahoma"/>
          <w:noProof/>
          <w:lang w:val="es-CO" w:eastAsia="ja-JP"/>
        </w:rPr>
        <w:t>La Agencia realiza un seguimiento estricto a este proceso, en el que consideró</w:t>
      </w:r>
      <w:r>
        <w:rPr>
          <w:rFonts w:eastAsia="SimSun" w:cs="Tahoma"/>
          <w:noProof/>
          <w:lang w:val="es-CO" w:eastAsia="ja-JP"/>
        </w:rPr>
        <w:t xml:space="preserve"> que la defensa del Estado está bien estructurada, </w:t>
      </w:r>
      <w:r w:rsidRPr="00C65C55">
        <w:rPr>
          <w:rFonts w:eastAsia="SimSun" w:cs="Tahoma"/>
          <w:noProof/>
          <w:lang w:val="es-CO" w:eastAsia="ja-JP"/>
        </w:rPr>
        <w:t>no obstante la ca</w:t>
      </w:r>
      <w:r>
        <w:rPr>
          <w:rFonts w:eastAsia="SimSun" w:cs="Tahoma"/>
          <w:noProof/>
          <w:lang w:val="es-CO" w:eastAsia="ja-JP"/>
        </w:rPr>
        <w:t>lificacióin del riesgo asignada.</w:t>
      </w:r>
    </w:p>
    <w:p w14:paraId="225E4408" w14:textId="77777777" w:rsidR="003B41C3" w:rsidRPr="00C65C55" w:rsidRDefault="003B41C3" w:rsidP="003B41C3">
      <w:pPr>
        <w:spacing w:after="0"/>
        <w:ind w:left="-142" w:right="-284"/>
        <w:contextualSpacing/>
        <w:jc w:val="both"/>
        <w:rPr>
          <w:rFonts w:eastAsia="SimSun" w:cs="Tahoma"/>
          <w:noProof/>
          <w:lang w:val="es-CO" w:eastAsia="ja-JP"/>
        </w:rPr>
      </w:pPr>
    </w:p>
    <w:p w14:paraId="1564B2F6" w14:textId="77777777" w:rsidR="003B41C3" w:rsidRPr="00E46994" w:rsidRDefault="003B41C3" w:rsidP="003B41C3">
      <w:pPr>
        <w:spacing w:after="0"/>
        <w:ind w:right="-284"/>
        <w:contextualSpacing/>
        <w:jc w:val="both"/>
        <w:rPr>
          <w:rFonts w:eastAsia="SimSun" w:cs="Tahoma"/>
          <w:b/>
          <w:noProof/>
          <w:lang w:val="es-CO" w:eastAsia="ja-JP"/>
        </w:rPr>
      </w:pPr>
      <w:r w:rsidRPr="00E46994">
        <w:rPr>
          <w:rFonts w:eastAsia="SimSun" w:cs="Tahoma"/>
          <w:b/>
          <w:noProof/>
          <w:lang w:val="es-CO" w:eastAsia="ja-JP"/>
        </w:rPr>
        <w:t>4.1.4.3</w:t>
      </w:r>
      <w:r w:rsidRPr="00E46994">
        <w:rPr>
          <w:rFonts w:eastAsia="SimSun" w:cs="Tahoma"/>
          <w:b/>
          <w:noProof/>
          <w:lang w:val="es-CO" w:eastAsia="ja-JP"/>
        </w:rPr>
        <w:tab/>
        <w:t>Procesos con riesgo BAJO.-</w:t>
      </w:r>
    </w:p>
    <w:p w14:paraId="533248DB" w14:textId="77777777" w:rsidR="003B41C3" w:rsidRDefault="003B41C3" w:rsidP="003B41C3">
      <w:pPr>
        <w:spacing w:after="0"/>
        <w:ind w:right="-284"/>
        <w:contextualSpacing/>
        <w:jc w:val="both"/>
        <w:rPr>
          <w:rFonts w:eastAsia="SimSun" w:cs="Tahoma"/>
          <w:noProof/>
          <w:lang w:val="es-CO" w:eastAsia="ja-JP"/>
        </w:rPr>
      </w:pPr>
    </w:p>
    <w:p w14:paraId="4B21C9F5" w14:textId="77777777" w:rsidR="003B41C3" w:rsidRPr="00C65C55" w:rsidRDefault="003B41C3" w:rsidP="003B41C3">
      <w:pPr>
        <w:spacing w:after="0"/>
        <w:ind w:right="-284"/>
        <w:contextualSpacing/>
        <w:jc w:val="both"/>
        <w:rPr>
          <w:rFonts w:eastAsia="SimSun" w:cs="Tahoma"/>
          <w:noProof/>
          <w:lang w:val="es-CO" w:eastAsia="ja-JP"/>
        </w:rPr>
      </w:pPr>
      <w:r w:rsidRPr="00C65C55">
        <w:rPr>
          <w:rFonts w:eastAsia="SimSun" w:cs="Tahoma"/>
          <w:noProof/>
          <w:lang w:val="es-CO" w:eastAsia="ja-JP"/>
        </w:rPr>
        <w:t xml:space="preserve">En los demás procesos, incluyendo las 16 acciones de grupo por captación ilegal de recursos se calificó de </w:t>
      </w:r>
      <w:r w:rsidRPr="00122B4F">
        <w:rPr>
          <w:rFonts w:eastAsia="SimSun" w:cs="Tahoma"/>
          <w:b/>
          <w:noProof/>
          <w:lang w:val="es-CO" w:eastAsia="ja-JP"/>
        </w:rPr>
        <w:t>BAJA</w:t>
      </w:r>
      <w:r w:rsidRPr="00C65C55">
        <w:rPr>
          <w:rFonts w:eastAsia="SimSun" w:cs="Tahoma"/>
          <w:noProof/>
          <w:lang w:val="es-CO" w:eastAsia="ja-JP"/>
        </w:rPr>
        <w:t xml:space="preserve"> la probabilidad de condena contra el Estado.</w:t>
      </w:r>
    </w:p>
    <w:p w14:paraId="6A4D9205" w14:textId="77777777" w:rsidR="003B41C3" w:rsidRPr="00C65C55" w:rsidRDefault="003B41C3" w:rsidP="003B41C3">
      <w:pPr>
        <w:spacing w:after="0"/>
        <w:ind w:right="-284"/>
        <w:contextualSpacing/>
        <w:jc w:val="both"/>
        <w:rPr>
          <w:rFonts w:eastAsia="SimSun" w:cs="Tahoma"/>
          <w:noProof/>
          <w:lang w:val="es-CO" w:eastAsia="ja-JP"/>
        </w:rPr>
      </w:pPr>
    </w:p>
    <w:p w14:paraId="3CE7B7BD" w14:textId="77777777" w:rsidR="003B41C3" w:rsidRDefault="003B41C3" w:rsidP="003B41C3">
      <w:pPr>
        <w:spacing w:after="0"/>
        <w:ind w:right="-284"/>
        <w:contextualSpacing/>
        <w:jc w:val="both"/>
        <w:rPr>
          <w:rFonts w:eastAsia="SimSun" w:cs="Tahoma"/>
          <w:noProof/>
          <w:lang w:val="es-CO" w:eastAsia="ja-JP"/>
        </w:rPr>
      </w:pPr>
      <w:r w:rsidRPr="00C65C55">
        <w:rPr>
          <w:rFonts w:eastAsia="SimSun" w:cs="Tahoma"/>
          <w:noProof/>
          <w:lang w:val="es-CO" w:eastAsia="ja-JP"/>
        </w:rPr>
        <w:t>A continuación, se presenta un cuadro con la calificación del riesgo asignada a cada proceso de los 25 procesos más cuantiosos contra el Estado:</w:t>
      </w:r>
      <w:r>
        <w:rPr>
          <w:rFonts w:eastAsia="SimSun" w:cs="Tahoma"/>
          <w:noProof/>
          <w:lang w:val="es-CO" w:eastAsia="ja-JP"/>
        </w:rPr>
        <w:t xml:space="preserve"> (Tabla 8)</w:t>
      </w:r>
    </w:p>
    <w:p w14:paraId="2080930C" w14:textId="77777777" w:rsidR="003B41C3" w:rsidRDefault="003B41C3" w:rsidP="003B41C3">
      <w:pPr>
        <w:spacing w:after="0"/>
        <w:ind w:right="-284"/>
        <w:contextualSpacing/>
        <w:jc w:val="both"/>
        <w:rPr>
          <w:rFonts w:eastAsia="SimSun" w:cs="Tahoma"/>
          <w:noProof/>
          <w:lang w:val="es-CO" w:eastAsia="ja-JP"/>
        </w:rPr>
      </w:pPr>
    </w:p>
    <w:p w14:paraId="7F95EE79" w14:textId="77777777" w:rsidR="003B41C3" w:rsidRDefault="003B41C3" w:rsidP="003B41C3">
      <w:pPr>
        <w:spacing w:after="0"/>
        <w:ind w:right="-284"/>
        <w:contextualSpacing/>
        <w:jc w:val="both"/>
        <w:rPr>
          <w:rFonts w:eastAsia="SimSun" w:cs="Tahoma"/>
          <w:noProof/>
          <w:lang w:val="es-CO" w:eastAsia="ja-JP"/>
        </w:rPr>
      </w:pPr>
    </w:p>
    <w:p w14:paraId="35EAA439" w14:textId="77777777" w:rsidR="003B41C3" w:rsidRDefault="003B41C3" w:rsidP="003B41C3">
      <w:pPr>
        <w:spacing w:after="0"/>
        <w:ind w:right="-284"/>
        <w:contextualSpacing/>
        <w:jc w:val="both"/>
        <w:rPr>
          <w:rFonts w:eastAsia="SimSun" w:cs="Tahoma"/>
          <w:noProof/>
          <w:lang w:val="es-CO" w:eastAsia="ja-JP"/>
        </w:rPr>
      </w:pPr>
    </w:p>
    <w:p w14:paraId="05AAF9C0" w14:textId="77777777" w:rsidR="003B41C3" w:rsidRDefault="003B41C3" w:rsidP="003B41C3">
      <w:pPr>
        <w:spacing w:after="0"/>
        <w:ind w:right="-284"/>
        <w:contextualSpacing/>
        <w:jc w:val="both"/>
        <w:rPr>
          <w:rFonts w:eastAsia="SimSun" w:cs="Tahoma"/>
          <w:noProof/>
          <w:lang w:val="es-CO" w:eastAsia="ja-JP"/>
        </w:rPr>
      </w:pPr>
    </w:p>
    <w:p w14:paraId="0B3BE277" w14:textId="77777777" w:rsidR="003B41C3" w:rsidRDefault="003B41C3" w:rsidP="003B41C3">
      <w:pPr>
        <w:spacing w:after="0"/>
        <w:ind w:right="-284"/>
        <w:contextualSpacing/>
        <w:jc w:val="center"/>
        <w:rPr>
          <w:rFonts w:eastAsia="SimSun" w:cs="Tahoma"/>
          <w:b/>
          <w:noProof/>
          <w:sz w:val="18"/>
          <w:szCs w:val="18"/>
          <w:lang w:val="es-CO" w:eastAsia="ja-JP"/>
        </w:rPr>
      </w:pPr>
      <w:r>
        <w:rPr>
          <w:rFonts w:eastAsia="SimSun" w:cs="Tahoma"/>
          <w:b/>
          <w:noProof/>
          <w:sz w:val="18"/>
          <w:szCs w:val="18"/>
          <w:lang w:val="es-CO" w:eastAsia="ja-JP"/>
        </w:rPr>
        <w:t>Tabla 8</w:t>
      </w:r>
    </w:p>
    <w:p w14:paraId="136BAD0D" w14:textId="77777777" w:rsidR="003B41C3" w:rsidRPr="00E46994" w:rsidRDefault="003B41C3" w:rsidP="003B41C3">
      <w:pPr>
        <w:spacing w:after="0"/>
        <w:ind w:right="-284"/>
        <w:contextualSpacing/>
        <w:jc w:val="center"/>
        <w:rPr>
          <w:rFonts w:eastAsia="SimSun" w:cs="Tahoma"/>
          <w:b/>
          <w:noProof/>
          <w:sz w:val="18"/>
          <w:szCs w:val="18"/>
          <w:lang w:val="es-CO" w:eastAsia="ja-JP"/>
        </w:rPr>
      </w:pPr>
    </w:p>
    <w:tbl>
      <w:tblPr>
        <w:tblStyle w:val="Tablaconcuadrcula2"/>
        <w:tblW w:w="9072" w:type="dxa"/>
        <w:tblInd w:w="-5" w:type="dxa"/>
        <w:tblLook w:val="04A0" w:firstRow="1" w:lastRow="0" w:firstColumn="1" w:lastColumn="0" w:noHBand="0" w:noVBand="1"/>
      </w:tblPr>
      <w:tblGrid>
        <w:gridCol w:w="453"/>
        <w:gridCol w:w="1700"/>
        <w:gridCol w:w="3376"/>
        <w:gridCol w:w="1984"/>
        <w:gridCol w:w="1559"/>
      </w:tblGrid>
      <w:tr w:rsidR="003B41C3" w:rsidRPr="007C3F70" w14:paraId="214A3F0B" w14:textId="77777777" w:rsidTr="003B41C3">
        <w:tc>
          <w:tcPr>
            <w:tcW w:w="45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DA7995" w14:textId="77777777" w:rsidR="003B41C3" w:rsidRPr="00414802" w:rsidRDefault="003B41C3" w:rsidP="003B41C3">
            <w:pPr>
              <w:jc w:val="center"/>
              <w:rPr>
                <w:b/>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7702E5" w14:textId="77777777" w:rsidR="003B41C3" w:rsidRDefault="003B41C3" w:rsidP="003B41C3">
            <w:pPr>
              <w:jc w:val="center"/>
              <w:rPr>
                <w:b/>
                <w:sz w:val="18"/>
                <w:szCs w:val="18"/>
              </w:rPr>
            </w:pPr>
            <w:r w:rsidRPr="00414802">
              <w:rPr>
                <w:b/>
                <w:sz w:val="18"/>
                <w:szCs w:val="18"/>
              </w:rPr>
              <w:t>ACCIÓN</w:t>
            </w:r>
          </w:p>
          <w:p w14:paraId="2CB70D1E" w14:textId="77777777" w:rsidR="003B41C3" w:rsidRPr="00414802" w:rsidRDefault="003B41C3" w:rsidP="003B41C3">
            <w:pPr>
              <w:jc w:val="center"/>
              <w:rPr>
                <w:b/>
                <w:sz w:val="18"/>
                <w:szCs w:val="18"/>
              </w:rPr>
            </w:pPr>
          </w:p>
          <w:p w14:paraId="057F108B" w14:textId="77777777" w:rsidR="003B41C3" w:rsidRPr="00414802" w:rsidRDefault="003B41C3" w:rsidP="003B41C3">
            <w:pPr>
              <w:jc w:val="center"/>
              <w:rPr>
                <w:b/>
                <w:sz w:val="18"/>
                <w:szCs w:val="18"/>
              </w:rPr>
            </w:pPr>
          </w:p>
        </w:tc>
        <w:tc>
          <w:tcPr>
            <w:tcW w:w="33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AA5366" w14:textId="77777777" w:rsidR="003B41C3" w:rsidRPr="00414802" w:rsidRDefault="003B41C3" w:rsidP="003B41C3">
            <w:pPr>
              <w:jc w:val="center"/>
              <w:rPr>
                <w:b/>
                <w:sz w:val="18"/>
                <w:szCs w:val="18"/>
              </w:rPr>
            </w:pPr>
            <w:r w:rsidRPr="00414802">
              <w:rPr>
                <w:b/>
                <w:sz w:val="18"/>
                <w:szCs w:val="18"/>
              </w:rPr>
              <w:t>DEMANDADO</w:t>
            </w:r>
          </w:p>
        </w:tc>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4E6504" w14:textId="77777777" w:rsidR="003B41C3" w:rsidRPr="00414802" w:rsidRDefault="003B41C3" w:rsidP="003B41C3">
            <w:pPr>
              <w:jc w:val="center"/>
              <w:rPr>
                <w:b/>
                <w:sz w:val="18"/>
                <w:szCs w:val="18"/>
              </w:rPr>
            </w:pPr>
            <w:r w:rsidRPr="00414802">
              <w:rPr>
                <w:b/>
                <w:sz w:val="18"/>
                <w:szCs w:val="18"/>
              </w:rPr>
              <w:t>CUANTÍA</w:t>
            </w:r>
          </w:p>
        </w:tc>
        <w:tc>
          <w:tcPr>
            <w:tcW w:w="155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86391E" w14:textId="77777777" w:rsidR="003B41C3" w:rsidRPr="00414802" w:rsidRDefault="003B41C3" w:rsidP="003B41C3">
            <w:pPr>
              <w:jc w:val="center"/>
              <w:rPr>
                <w:b/>
                <w:sz w:val="18"/>
                <w:szCs w:val="18"/>
              </w:rPr>
            </w:pPr>
            <w:r w:rsidRPr="00414802">
              <w:rPr>
                <w:b/>
                <w:sz w:val="18"/>
                <w:szCs w:val="18"/>
              </w:rPr>
              <w:t>CALIFICACIÓN</w:t>
            </w:r>
          </w:p>
        </w:tc>
      </w:tr>
      <w:tr w:rsidR="003B41C3" w:rsidRPr="007C3F70" w14:paraId="7A2AD80E"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8614850" w14:textId="77777777" w:rsidR="003B41C3" w:rsidRPr="00414802" w:rsidRDefault="003B41C3" w:rsidP="003B41C3">
            <w:pPr>
              <w:spacing w:line="0" w:lineRule="atLeast"/>
              <w:rPr>
                <w:b/>
                <w:sz w:val="18"/>
                <w:szCs w:val="18"/>
              </w:rPr>
            </w:pPr>
            <w:r w:rsidRPr="00414802">
              <w:rPr>
                <w:b/>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14:paraId="071FEB33" w14:textId="77777777" w:rsidR="003B41C3" w:rsidRPr="00414802" w:rsidRDefault="003B41C3" w:rsidP="003B41C3">
            <w:pPr>
              <w:spacing w:line="0" w:lineRule="atLeast"/>
              <w:rPr>
                <w:sz w:val="18"/>
                <w:szCs w:val="18"/>
              </w:rPr>
            </w:pPr>
            <w:r w:rsidRPr="00414802">
              <w:rPr>
                <w:sz w:val="18"/>
                <w:szCs w:val="18"/>
              </w:rPr>
              <w:t xml:space="preserve">Acción de Grupo </w:t>
            </w:r>
          </w:p>
        </w:tc>
        <w:tc>
          <w:tcPr>
            <w:tcW w:w="3376" w:type="dxa"/>
            <w:tcBorders>
              <w:top w:val="single" w:sz="4" w:space="0" w:color="auto"/>
              <w:left w:val="single" w:sz="4" w:space="0" w:color="auto"/>
              <w:bottom w:val="single" w:sz="4" w:space="0" w:color="auto"/>
              <w:right w:val="single" w:sz="4" w:space="0" w:color="auto"/>
            </w:tcBorders>
            <w:hideMark/>
          </w:tcPr>
          <w:p w14:paraId="6E8EB79A" w14:textId="77777777" w:rsidR="003B41C3" w:rsidRPr="00414802" w:rsidRDefault="003B41C3" w:rsidP="003B41C3">
            <w:pPr>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hideMark/>
          </w:tcPr>
          <w:p w14:paraId="742671FF" w14:textId="77777777" w:rsidR="003B41C3" w:rsidRPr="00414802" w:rsidRDefault="003B41C3" w:rsidP="003B41C3">
            <w:pPr>
              <w:rPr>
                <w:sz w:val="18"/>
                <w:szCs w:val="18"/>
              </w:rPr>
            </w:pPr>
            <w:r w:rsidRPr="00414802">
              <w:rPr>
                <w:sz w:val="18"/>
                <w:szCs w:val="18"/>
              </w:rPr>
              <w:t>$6.708.960.000.000</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1F048F0" w14:textId="77777777" w:rsidR="003B41C3" w:rsidRPr="00414802" w:rsidRDefault="003B41C3" w:rsidP="003B41C3">
            <w:pPr>
              <w:jc w:val="center"/>
              <w:rPr>
                <w:sz w:val="18"/>
                <w:szCs w:val="18"/>
              </w:rPr>
            </w:pPr>
            <w:r w:rsidRPr="00414802">
              <w:rPr>
                <w:sz w:val="18"/>
                <w:szCs w:val="18"/>
              </w:rPr>
              <w:t>Baja</w:t>
            </w:r>
          </w:p>
        </w:tc>
      </w:tr>
      <w:tr w:rsidR="003B41C3" w:rsidRPr="007C3F70" w14:paraId="66D6E39E"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58AF8C1F" w14:textId="77777777" w:rsidR="003B41C3" w:rsidRPr="00414802" w:rsidRDefault="003B41C3" w:rsidP="003B41C3">
            <w:pPr>
              <w:spacing w:line="0" w:lineRule="atLeast"/>
              <w:jc w:val="both"/>
              <w:rPr>
                <w:b/>
                <w:sz w:val="18"/>
                <w:szCs w:val="18"/>
              </w:rPr>
            </w:pPr>
            <w:r w:rsidRPr="00414802">
              <w:rPr>
                <w:b/>
                <w:sz w:val="18"/>
                <w:szCs w:val="18"/>
              </w:rPr>
              <w:t>2</w:t>
            </w:r>
          </w:p>
        </w:tc>
        <w:tc>
          <w:tcPr>
            <w:tcW w:w="1700" w:type="dxa"/>
            <w:tcBorders>
              <w:top w:val="single" w:sz="4" w:space="0" w:color="auto"/>
              <w:left w:val="single" w:sz="4" w:space="0" w:color="auto"/>
              <w:bottom w:val="single" w:sz="4" w:space="0" w:color="auto"/>
              <w:right w:val="single" w:sz="4" w:space="0" w:color="auto"/>
            </w:tcBorders>
            <w:hideMark/>
          </w:tcPr>
          <w:p w14:paraId="619F558E" w14:textId="77777777" w:rsidR="003B41C3" w:rsidRPr="00414802" w:rsidRDefault="003B41C3" w:rsidP="003B41C3">
            <w:pPr>
              <w:spacing w:line="0" w:lineRule="atLeast"/>
              <w:jc w:val="both"/>
              <w:rPr>
                <w:sz w:val="18"/>
                <w:szCs w:val="18"/>
              </w:rPr>
            </w:pPr>
            <w:r w:rsidRPr="00414802">
              <w:rPr>
                <w:sz w:val="18"/>
                <w:szCs w:val="18"/>
              </w:rPr>
              <w:t>Acción Reparación Directa</w:t>
            </w:r>
          </w:p>
        </w:tc>
        <w:tc>
          <w:tcPr>
            <w:tcW w:w="3376" w:type="dxa"/>
            <w:tcBorders>
              <w:top w:val="single" w:sz="4" w:space="0" w:color="auto"/>
              <w:left w:val="single" w:sz="4" w:space="0" w:color="auto"/>
              <w:bottom w:val="single" w:sz="4" w:space="0" w:color="auto"/>
              <w:right w:val="single" w:sz="4" w:space="0" w:color="auto"/>
            </w:tcBorders>
            <w:hideMark/>
          </w:tcPr>
          <w:p w14:paraId="38A20FB0" w14:textId="77777777" w:rsidR="003B41C3" w:rsidRPr="00414802" w:rsidRDefault="003B41C3" w:rsidP="003B41C3">
            <w:pPr>
              <w:rPr>
                <w:sz w:val="18"/>
                <w:szCs w:val="18"/>
              </w:rPr>
            </w:pPr>
            <w:r w:rsidRPr="00414802">
              <w:rPr>
                <w:sz w:val="18"/>
                <w:szCs w:val="18"/>
              </w:rPr>
              <w:t>Superintendencia de Industria y Comercio</w:t>
            </w:r>
          </w:p>
        </w:tc>
        <w:tc>
          <w:tcPr>
            <w:tcW w:w="1984" w:type="dxa"/>
            <w:tcBorders>
              <w:top w:val="single" w:sz="4" w:space="0" w:color="auto"/>
              <w:left w:val="single" w:sz="4" w:space="0" w:color="auto"/>
              <w:bottom w:val="single" w:sz="4" w:space="0" w:color="auto"/>
              <w:right w:val="single" w:sz="4" w:space="0" w:color="auto"/>
            </w:tcBorders>
            <w:hideMark/>
          </w:tcPr>
          <w:p w14:paraId="3C40AA61" w14:textId="77777777" w:rsidR="003B41C3" w:rsidRPr="00414802" w:rsidRDefault="003B41C3" w:rsidP="003B41C3">
            <w:pPr>
              <w:rPr>
                <w:sz w:val="18"/>
                <w:szCs w:val="18"/>
              </w:rPr>
            </w:pPr>
            <w:r w:rsidRPr="00414802">
              <w:rPr>
                <w:sz w:val="18"/>
                <w:szCs w:val="18"/>
              </w:rPr>
              <w:t>$6.116.470.038.734</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7D5241B" w14:textId="77777777" w:rsidR="003B41C3" w:rsidRPr="00414802" w:rsidRDefault="003B41C3" w:rsidP="003B41C3">
            <w:pPr>
              <w:jc w:val="center"/>
              <w:rPr>
                <w:sz w:val="18"/>
                <w:szCs w:val="18"/>
              </w:rPr>
            </w:pPr>
            <w:r w:rsidRPr="00414802">
              <w:rPr>
                <w:sz w:val="18"/>
                <w:szCs w:val="18"/>
              </w:rPr>
              <w:t>Baja</w:t>
            </w:r>
          </w:p>
        </w:tc>
      </w:tr>
      <w:tr w:rsidR="003B41C3" w:rsidRPr="007C3F70" w14:paraId="559C4AA1"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5CE70CFF" w14:textId="77777777" w:rsidR="003B41C3" w:rsidRPr="00414802" w:rsidRDefault="003B41C3" w:rsidP="003B41C3">
            <w:pPr>
              <w:rPr>
                <w:b/>
                <w:sz w:val="18"/>
                <w:szCs w:val="18"/>
              </w:rPr>
            </w:pPr>
            <w:r w:rsidRPr="00414802">
              <w:rPr>
                <w:b/>
                <w:sz w:val="18"/>
                <w:szCs w:val="18"/>
              </w:rPr>
              <w:t>3</w:t>
            </w:r>
          </w:p>
        </w:tc>
        <w:tc>
          <w:tcPr>
            <w:tcW w:w="1700" w:type="dxa"/>
            <w:tcBorders>
              <w:top w:val="single" w:sz="4" w:space="0" w:color="auto"/>
              <w:left w:val="single" w:sz="4" w:space="0" w:color="auto"/>
              <w:bottom w:val="single" w:sz="4" w:space="0" w:color="auto"/>
              <w:right w:val="single" w:sz="4" w:space="0" w:color="auto"/>
            </w:tcBorders>
            <w:hideMark/>
          </w:tcPr>
          <w:p w14:paraId="26EA825B" w14:textId="77777777" w:rsidR="003B41C3" w:rsidRPr="00414802" w:rsidRDefault="003B41C3" w:rsidP="003B41C3">
            <w:pPr>
              <w:spacing w:line="0" w:lineRule="atLeast"/>
              <w:jc w:val="both"/>
              <w:rPr>
                <w:sz w:val="18"/>
                <w:szCs w:val="18"/>
              </w:rPr>
            </w:pPr>
            <w:r w:rsidRPr="00414802">
              <w:rPr>
                <w:sz w:val="18"/>
                <w:szCs w:val="18"/>
              </w:rPr>
              <w:t>Acción de Grupo</w:t>
            </w:r>
          </w:p>
        </w:tc>
        <w:tc>
          <w:tcPr>
            <w:tcW w:w="3376" w:type="dxa"/>
            <w:tcBorders>
              <w:top w:val="single" w:sz="4" w:space="0" w:color="auto"/>
              <w:left w:val="single" w:sz="4" w:space="0" w:color="auto"/>
              <w:bottom w:val="single" w:sz="4" w:space="0" w:color="auto"/>
              <w:right w:val="single" w:sz="4" w:space="0" w:color="auto"/>
            </w:tcBorders>
            <w:hideMark/>
          </w:tcPr>
          <w:p w14:paraId="0D97B03B" w14:textId="77777777" w:rsidR="003B41C3" w:rsidRPr="00414802" w:rsidRDefault="00C15372" w:rsidP="003B41C3">
            <w:pPr>
              <w:rPr>
                <w:sz w:val="18"/>
                <w:szCs w:val="18"/>
              </w:rPr>
            </w:pPr>
            <w:r>
              <w:rPr>
                <w:sz w:val="18"/>
                <w:szCs w:val="18"/>
              </w:rPr>
              <w:t>Ministerio de Minas y Energía</w:t>
            </w:r>
            <w:r w:rsidR="003B41C3" w:rsidRPr="00414802">
              <w:rPr>
                <w:sz w:val="18"/>
                <w:szCs w:val="18"/>
              </w:rPr>
              <w:t xml:space="preserve">, </w:t>
            </w:r>
            <w:r>
              <w:rPr>
                <w:sz w:val="18"/>
                <w:szCs w:val="18"/>
              </w:rPr>
              <w:t>Ministerio de Hacienda y Crédito Público</w:t>
            </w:r>
            <w:r w:rsidR="003B41C3" w:rsidRPr="00414802">
              <w:rPr>
                <w:sz w:val="18"/>
                <w:szCs w:val="18"/>
              </w:rPr>
              <w:t>, ISA</w:t>
            </w:r>
          </w:p>
        </w:tc>
        <w:tc>
          <w:tcPr>
            <w:tcW w:w="1984" w:type="dxa"/>
            <w:tcBorders>
              <w:top w:val="single" w:sz="4" w:space="0" w:color="auto"/>
              <w:left w:val="single" w:sz="4" w:space="0" w:color="auto"/>
              <w:bottom w:val="single" w:sz="4" w:space="0" w:color="auto"/>
              <w:right w:val="single" w:sz="4" w:space="0" w:color="auto"/>
            </w:tcBorders>
            <w:hideMark/>
          </w:tcPr>
          <w:p w14:paraId="0F5092BD" w14:textId="77777777" w:rsidR="003B41C3" w:rsidRPr="00414802" w:rsidRDefault="003B41C3" w:rsidP="003B41C3">
            <w:pPr>
              <w:rPr>
                <w:sz w:val="18"/>
                <w:szCs w:val="18"/>
              </w:rPr>
            </w:pPr>
            <w:r w:rsidRPr="00414802">
              <w:rPr>
                <w:sz w:val="18"/>
                <w:szCs w:val="18"/>
              </w:rPr>
              <w:t>$6.049.352.056.687</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1A2531" w14:textId="77777777" w:rsidR="003B41C3" w:rsidRPr="00414802" w:rsidRDefault="003B41C3" w:rsidP="003B41C3">
            <w:pPr>
              <w:jc w:val="center"/>
              <w:rPr>
                <w:sz w:val="18"/>
                <w:szCs w:val="18"/>
              </w:rPr>
            </w:pPr>
            <w:r w:rsidRPr="00414802">
              <w:rPr>
                <w:sz w:val="18"/>
                <w:szCs w:val="18"/>
              </w:rPr>
              <w:t>Baja</w:t>
            </w:r>
          </w:p>
          <w:p w14:paraId="03119C0D" w14:textId="77777777" w:rsidR="003B41C3" w:rsidRPr="00414802" w:rsidRDefault="003B41C3" w:rsidP="003B41C3">
            <w:pPr>
              <w:jc w:val="center"/>
              <w:rPr>
                <w:sz w:val="18"/>
                <w:szCs w:val="18"/>
              </w:rPr>
            </w:pPr>
          </w:p>
        </w:tc>
      </w:tr>
      <w:tr w:rsidR="003B41C3" w:rsidRPr="007C3F70" w14:paraId="055A1587"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67E7ED43" w14:textId="77777777" w:rsidR="003B41C3" w:rsidRPr="00414802" w:rsidRDefault="003B41C3" w:rsidP="003B41C3">
            <w:pPr>
              <w:rPr>
                <w:b/>
                <w:sz w:val="18"/>
                <w:szCs w:val="18"/>
              </w:rPr>
            </w:pPr>
            <w:r w:rsidRPr="00414802">
              <w:rPr>
                <w:b/>
                <w:sz w:val="18"/>
                <w:szCs w:val="18"/>
              </w:rPr>
              <w:t>4</w:t>
            </w:r>
          </w:p>
        </w:tc>
        <w:tc>
          <w:tcPr>
            <w:tcW w:w="1700" w:type="dxa"/>
            <w:tcBorders>
              <w:top w:val="single" w:sz="4" w:space="0" w:color="auto"/>
              <w:left w:val="single" w:sz="4" w:space="0" w:color="auto"/>
              <w:bottom w:val="single" w:sz="4" w:space="0" w:color="auto"/>
              <w:right w:val="single" w:sz="4" w:space="0" w:color="auto"/>
            </w:tcBorders>
          </w:tcPr>
          <w:p w14:paraId="47860DF6" w14:textId="77777777" w:rsidR="003B41C3" w:rsidRPr="00414802" w:rsidRDefault="003B41C3" w:rsidP="003B41C3">
            <w:pPr>
              <w:spacing w:line="0" w:lineRule="atLeast"/>
              <w:rPr>
                <w:sz w:val="18"/>
                <w:szCs w:val="18"/>
              </w:rPr>
            </w:pPr>
            <w:r w:rsidRPr="00414802">
              <w:rPr>
                <w:sz w:val="18"/>
                <w:szCs w:val="18"/>
              </w:rPr>
              <w:t xml:space="preserve">Acción de Grupo </w:t>
            </w:r>
          </w:p>
          <w:p w14:paraId="7CD28269" w14:textId="77777777" w:rsidR="003B41C3" w:rsidRPr="00414802" w:rsidRDefault="003B41C3" w:rsidP="003B41C3">
            <w:pPr>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32E1F380" w14:textId="77777777" w:rsidR="003B41C3" w:rsidRPr="00414802" w:rsidRDefault="003B41C3" w:rsidP="003B41C3">
            <w:pPr>
              <w:rPr>
                <w:sz w:val="18"/>
                <w:szCs w:val="18"/>
              </w:rPr>
            </w:pPr>
            <w:r w:rsidRPr="00414802">
              <w:rPr>
                <w:sz w:val="18"/>
                <w:szCs w:val="18"/>
              </w:rPr>
              <w:lastRenderedPageBreak/>
              <w:t>Superintendencia Financiera y Otros</w:t>
            </w:r>
          </w:p>
        </w:tc>
        <w:tc>
          <w:tcPr>
            <w:tcW w:w="1984" w:type="dxa"/>
            <w:tcBorders>
              <w:top w:val="single" w:sz="4" w:space="0" w:color="auto"/>
              <w:left w:val="single" w:sz="4" w:space="0" w:color="auto"/>
              <w:bottom w:val="single" w:sz="4" w:space="0" w:color="auto"/>
              <w:right w:val="single" w:sz="4" w:space="0" w:color="auto"/>
            </w:tcBorders>
            <w:hideMark/>
          </w:tcPr>
          <w:p w14:paraId="21474AFF" w14:textId="77777777" w:rsidR="003B41C3" w:rsidRPr="00414802" w:rsidRDefault="003B41C3" w:rsidP="003B41C3">
            <w:pPr>
              <w:rPr>
                <w:sz w:val="18"/>
                <w:szCs w:val="18"/>
              </w:rPr>
            </w:pPr>
            <w:r w:rsidRPr="00414802">
              <w:rPr>
                <w:sz w:val="18"/>
                <w:szCs w:val="18"/>
              </w:rPr>
              <w:t>$5.481.010.000.000</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14D5C7" w14:textId="77777777" w:rsidR="003B41C3" w:rsidRPr="00414802" w:rsidRDefault="003B41C3" w:rsidP="003B41C3">
            <w:pPr>
              <w:jc w:val="center"/>
              <w:rPr>
                <w:sz w:val="18"/>
                <w:szCs w:val="18"/>
              </w:rPr>
            </w:pPr>
            <w:r w:rsidRPr="00414802">
              <w:rPr>
                <w:sz w:val="18"/>
                <w:szCs w:val="18"/>
              </w:rPr>
              <w:t>Baja</w:t>
            </w:r>
          </w:p>
        </w:tc>
      </w:tr>
      <w:tr w:rsidR="003B41C3" w:rsidRPr="007C3F70" w14:paraId="74DD3DF3"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6BF89489" w14:textId="77777777" w:rsidR="003B41C3" w:rsidRPr="00414802" w:rsidRDefault="003B41C3" w:rsidP="003B41C3">
            <w:pPr>
              <w:rPr>
                <w:b/>
                <w:sz w:val="18"/>
                <w:szCs w:val="18"/>
              </w:rPr>
            </w:pPr>
            <w:r w:rsidRPr="00414802">
              <w:rPr>
                <w:b/>
                <w:sz w:val="18"/>
                <w:szCs w:val="18"/>
              </w:rPr>
              <w:lastRenderedPageBreak/>
              <w:t>5</w:t>
            </w:r>
          </w:p>
        </w:tc>
        <w:tc>
          <w:tcPr>
            <w:tcW w:w="1700" w:type="dxa"/>
            <w:tcBorders>
              <w:top w:val="single" w:sz="4" w:space="0" w:color="auto"/>
              <w:left w:val="single" w:sz="4" w:space="0" w:color="auto"/>
              <w:bottom w:val="single" w:sz="4" w:space="0" w:color="auto"/>
              <w:right w:val="single" w:sz="4" w:space="0" w:color="auto"/>
            </w:tcBorders>
          </w:tcPr>
          <w:p w14:paraId="3A674A53" w14:textId="77777777" w:rsidR="003B41C3" w:rsidRPr="00414802" w:rsidRDefault="003B41C3" w:rsidP="003B41C3">
            <w:pPr>
              <w:spacing w:line="0" w:lineRule="atLeast"/>
              <w:jc w:val="both"/>
              <w:rPr>
                <w:sz w:val="18"/>
                <w:szCs w:val="18"/>
              </w:rPr>
            </w:pPr>
            <w:r w:rsidRPr="00414802">
              <w:rPr>
                <w:sz w:val="18"/>
                <w:szCs w:val="18"/>
              </w:rPr>
              <w:t>Acción de Grupo</w:t>
            </w:r>
          </w:p>
          <w:p w14:paraId="279B240D" w14:textId="77777777" w:rsidR="003B41C3" w:rsidRPr="00414802" w:rsidRDefault="003B41C3" w:rsidP="003B41C3">
            <w:pPr>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05C2CEA8" w14:textId="77777777" w:rsidR="003B41C3" w:rsidRPr="00414802" w:rsidRDefault="003B41C3" w:rsidP="003B41C3">
            <w:pPr>
              <w:rPr>
                <w:sz w:val="18"/>
                <w:szCs w:val="18"/>
              </w:rPr>
            </w:pPr>
            <w:proofErr w:type="spellStart"/>
            <w:r w:rsidRPr="00414802">
              <w:rPr>
                <w:sz w:val="18"/>
                <w:szCs w:val="18"/>
              </w:rPr>
              <w:t>Cormagdalena</w:t>
            </w:r>
            <w:proofErr w:type="spellEnd"/>
            <w:r w:rsidRPr="00414802">
              <w:rPr>
                <w:sz w:val="18"/>
                <w:szCs w:val="18"/>
              </w:rPr>
              <w:t xml:space="preserve"> y Otros.</w:t>
            </w:r>
          </w:p>
        </w:tc>
        <w:tc>
          <w:tcPr>
            <w:tcW w:w="1984" w:type="dxa"/>
            <w:tcBorders>
              <w:top w:val="single" w:sz="4" w:space="0" w:color="auto"/>
              <w:left w:val="single" w:sz="4" w:space="0" w:color="auto"/>
              <w:bottom w:val="single" w:sz="4" w:space="0" w:color="auto"/>
              <w:right w:val="single" w:sz="4" w:space="0" w:color="auto"/>
            </w:tcBorders>
            <w:hideMark/>
          </w:tcPr>
          <w:p w14:paraId="1D7EC4E5" w14:textId="77777777" w:rsidR="003B41C3" w:rsidRPr="00414802" w:rsidRDefault="003B41C3" w:rsidP="003B41C3">
            <w:pPr>
              <w:rPr>
                <w:sz w:val="18"/>
                <w:szCs w:val="18"/>
              </w:rPr>
            </w:pPr>
            <w:r w:rsidRPr="00414802">
              <w:rPr>
                <w:sz w:val="18"/>
                <w:szCs w:val="18"/>
              </w:rPr>
              <w:t>$4.544.338.162.000</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545212" w14:textId="77777777" w:rsidR="003B41C3" w:rsidRPr="00414802" w:rsidRDefault="003B41C3" w:rsidP="003B41C3">
            <w:pPr>
              <w:jc w:val="center"/>
              <w:rPr>
                <w:sz w:val="18"/>
                <w:szCs w:val="18"/>
              </w:rPr>
            </w:pPr>
            <w:r w:rsidRPr="00414802">
              <w:rPr>
                <w:sz w:val="18"/>
                <w:szCs w:val="18"/>
              </w:rPr>
              <w:t>Baja</w:t>
            </w:r>
          </w:p>
        </w:tc>
      </w:tr>
      <w:tr w:rsidR="003B41C3" w:rsidRPr="007C3F70" w14:paraId="6149FD6E"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669E8311" w14:textId="77777777" w:rsidR="003B41C3" w:rsidRPr="00414802" w:rsidRDefault="003B41C3" w:rsidP="003B41C3">
            <w:pPr>
              <w:rPr>
                <w:b/>
                <w:sz w:val="18"/>
                <w:szCs w:val="18"/>
              </w:rPr>
            </w:pPr>
            <w:r w:rsidRPr="00414802">
              <w:rPr>
                <w:b/>
                <w:sz w:val="18"/>
                <w:szCs w:val="18"/>
              </w:rPr>
              <w:t>6</w:t>
            </w:r>
          </w:p>
        </w:tc>
        <w:tc>
          <w:tcPr>
            <w:tcW w:w="1700" w:type="dxa"/>
            <w:tcBorders>
              <w:top w:val="single" w:sz="4" w:space="0" w:color="auto"/>
              <w:left w:val="single" w:sz="4" w:space="0" w:color="auto"/>
              <w:bottom w:val="single" w:sz="4" w:space="0" w:color="auto"/>
              <w:right w:val="single" w:sz="4" w:space="0" w:color="auto"/>
            </w:tcBorders>
          </w:tcPr>
          <w:p w14:paraId="6A1723AD" w14:textId="77777777" w:rsidR="003B41C3" w:rsidRPr="00414802" w:rsidRDefault="003B41C3" w:rsidP="003B41C3">
            <w:pPr>
              <w:spacing w:line="0" w:lineRule="atLeast"/>
              <w:rPr>
                <w:sz w:val="18"/>
                <w:szCs w:val="18"/>
              </w:rPr>
            </w:pPr>
            <w:r w:rsidRPr="00414802">
              <w:rPr>
                <w:sz w:val="18"/>
                <w:szCs w:val="18"/>
              </w:rPr>
              <w:t xml:space="preserve">Acción de Grupo </w:t>
            </w:r>
          </w:p>
          <w:p w14:paraId="14C09165" w14:textId="77777777" w:rsidR="003B41C3" w:rsidRPr="00414802" w:rsidRDefault="003B41C3" w:rsidP="003B41C3">
            <w:pPr>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3A969899" w14:textId="77777777" w:rsidR="003B41C3" w:rsidRPr="00414802" w:rsidRDefault="003B41C3" w:rsidP="003B41C3">
            <w:pPr>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hideMark/>
          </w:tcPr>
          <w:p w14:paraId="3E68F54E" w14:textId="77777777" w:rsidR="003B41C3" w:rsidRPr="00414802" w:rsidRDefault="003B41C3" w:rsidP="003B41C3">
            <w:pPr>
              <w:rPr>
                <w:sz w:val="18"/>
                <w:szCs w:val="18"/>
              </w:rPr>
            </w:pPr>
            <w:r w:rsidRPr="00414802">
              <w:rPr>
                <w:sz w:val="18"/>
                <w:szCs w:val="18"/>
              </w:rPr>
              <w:t>$4.414.710.366.720</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B97955D" w14:textId="77777777" w:rsidR="003B41C3" w:rsidRPr="00414802" w:rsidRDefault="003B41C3" w:rsidP="003B41C3">
            <w:pPr>
              <w:jc w:val="center"/>
              <w:rPr>
                <w:sz w:val="18"/>
                <w:szCs w:val="18"/>
              </w:rPr>
            </w:pPr>
            <w:r w:rsidRPr="00414802">
              <w:rPr>
                <w:sz w:val="18"/>
                <w:szCs w:val="18"/>
              </w:rPr>
              <w:t>Baja</w:t>
            </w:r>
          </w:p>
        </w:tc>
      </w:tr>
      <w:tr w:rsidR="003B41C3" w:rsidRPr="007C3F70" w14:paraId="2CC9381A"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6E8C4D55" w14:textId="77777777" w:rsidR="003B41C3" w:rsidRPr="00414802" w:rsidRDefault="003B41C3" w:rsidP="003B41C3">
            <w:pPr>
              <w:rPr>
                <w:b/>
                <w:sz w:val="18"/>
                <w:szCs w:val="18"/>
              </w:rPr>
            </w:pPr>
            <w:r w:rsidRPr="00414802">
              <w:rPr>
                <w:b/>
                <w:sz w:val="18"/>
                <w:szCs w:val="18"/>
              </w:rPr>
              <w:t>7</w:t>
            </w:r>
          </w:p>
        </w:tc>
        <w:tc>
          <w:tcPr>
            <w:tcW w:w="1700" w:type="dxa"/>
            <w:tcBorders>
              <w:top w:val="single" w:sz="4" w:space="0" w:color="auto"/>
              <w:left w:val="single" w:sz="4" w:space="0" w:color="auto"/>
              <w:bottom w:val="single" w:sz="4" w:space="0" w:color="auto"/>
              <w:right w:val="single" w:sz="4" w:space="0" w:color="auto"/>
            </w:tcBorders>
          </w:tcPr>
          <w:p w14:paraId="177FB70F" w14:textId="77777777" w:rsidR="003B41C3" w:rsidRPr="00414802" w:rsidRDefault="003B41C3" w:rsidP="003B41C3">
            <w:pPr>
              <w:spacing w:line="0" w:lineRule="atLeast"/>
              <w:rPr>
                <w:sz w:val="18"/>
                <w:szCs w:val="18"/>
              </w:rPr>
            </w:pPr>
            <w:r w:rsidRPr="00414802">
              <w:rPr>
                <w:sz w:val="18"/>
                <w:szCs w:val="18"/>
              </w:rPr>
              <w:t xml:space="preserve">Acción de Grupo </w:t>
            </w:r>
          </w:p>
          <w:p w14:paraId="199E739F" w14:textId="77777777" w:rsidR="003B41C3" w:rsidRPr="00414802" w:rsidRDefault="003B41C3" w:rsidP="003B41C3">
            <w:pPr>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6EC664F0" w14:textId="77777777" w:rsidR="003B41C3" w:rsidRPr="00414802" w:rsidRDefault="003B41C3" w:rsidP="003B41C3">
            <w:pPr>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hideMark/>
          </w:tcPr>
          <w:p w14:paraId="4C1B44A5" w14:textId="77777777" w:rsidR="003B41C3" w:rsidRPr="00414802" w:rsidRDefault="003B41C3" w:rsidP="003B41C3">
            <w:pPr>
              <w:rPr>
                <w:sz w:val="18"/>
                <w:szCs w:val="18"/>
              </w:rPr>
            </w:pPr>
            <w:r w:rsidRPr="00414802">
              <w:rPr>
                <w:sz w:val="18"/>
                <w:szCs w:val="18"/>
              </w:rPr>
              <w:t>$3.355.003.957.364</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2558B7" w14:textId="77777777" w:rsidR="003B41C3" w:rsidRPr="00414802" w:rsidRDefault="003B41C3" w:rsidP="003B41C3">
            <w:pPr>
              <w:jc w:val="center"/>
              <w:rPr>
                <w:sz w:val="18"/>
                <w:szCs w:val="18"/>
              </w:rPr>
            </w:pPr>
            <w:r w:rsidRPr="00414802">
              <w:rPr>
                <w:sz w:val="18"/>
                <w:szCs w:val="18"/>
              </w:rPr>
              <w:t>Baja</w:t>
            </w:r>
          </w:p>
        </w:tc>
      </w:tr>
      <w:tr w:rsidR="003B41C3" w:rsidRPr="007C3F70" w14:paraId="18E4D7B8"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E7A0C32" w14:textId="77777777" w:rsidR="003B41C3" w:rsidRPr="00414802" w:rsidRDefault="003B41C3" w:rsidP="003B41C3">
            <w:pPr>
              <w:rPr>
                <w:b/>
                <w:sz w:val="18"/>
                <w:szCs w:val="18"/>
              </w:rPr>
            </w:pPr>
            <w:r w:rsidRPr="00414802">
              <w:rPr>
                <w:b/>
                <w:sz w:val="18"/>
                <w:szCs w:val="18"/>
              </w:rPr>
              <w:t>8</w:t>
            </w:r>
          </w:p>
        </w:tc>
        <w:tc>
          <w:tcPr>
            <w:tcW w:w="1700" w:type="dxa"/>
            <w:tcBorders>
              <w:top w:val="single" w:sz="4" w:space="0" w:color="auto"/>
              <w:left w:val="single" w:sz="4" w:space="0" w:color="auto"/>
              <w:bottom w:val="single" w:sz="4" w:space="0" w:color="auto"/>
              <w:right w:val="single" w:sz="4" w:space="0" w:color="auto"/>
            </w:tcBorders>
          </w:tcPr>
          <w:p w14:paraId="6B32B054" w14:textId="77777777" w:rsidR="003B41C3" w:rsidRPr="00414802" w:rsidRDefault="003B41C3" w:rsidP="003B41C3">
            <w:pPr>
              <w:spacing w:line="0" w:lineRule="atLeast"/>
              <w:rPr>
                <w:sz w:val="18"/>
                <w:szCs w:val="18"/>
              </w:rPr>
            </w:pPr>
            <w:r w:rsidRPr="00414802">
              <w:rPr>
                <w:sz w:val="18"/>
                <w:szCs w:val="18"/>
              </w:rPr>
              <w:t xml:space="preserve">Acción de Grupo </w:t>
            </w:r>
          </w:p>
          <w:p w14:paraId="12A38260" w14:textId="77777777" w:rsidR="003B41C3" w:rsidRPr="00414802" w:rsidRDefault="003B41C3" w:rsidP="003B41C3">
            <w:pPr>
              <w:spacing w:line="0" w:lineRule="atLeast"/>
              <w:contextualSpacing/>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25CD5A18" w14:textId="77777777" w:rsidR="003B41C3" w:rsidRPr="00414802" w:rsidRDefault="003B41C3" w:rsidP="003B41C3">
            <w:pPr>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hideMark/>
          </w:tcPr>
          <w:p w14:paraId="52060D8E" w14:textId="77777777" w:rsidR="003B41C3" w:rsidRPr="00414802" w:rsidRDefault="003B41C3" w:rsidP="003B41C3">
            <w:pPr>
              <w:spacing w:line="0" w:lineRule="atLeast"/>
              <w:rPr>
                <w:sz w:val="18"/>
                <w:szCs w:val="18"/>
              </w:rPr>
            </w:pPr>
            <w:r w:rsidRPr="00414802">
              <w:rPr>
                <w:sz w:val="18"/>
                <w:szCs w:val="18"/>
              </w:rPr>
              <w:t>$2.795.400.000.000</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42DB53" w14:textId="77777777" w:rsidR="003B41C3" w:rsidRPr="00414802" w:rsidRDefault="003B41C3" w:rsidP="003B41C3">
            <w:pPr>
              <w:spacing w:line="0" w:lineRule="atLeast"/>
              <w:jc w:val="center"/>
              <w:rPr>
                <w:sz w:val="18"/>
                <w:szCs w:val="18"/>
              </w:rPr>
            </w:pPr>
            <w:r w:rsidRPr="00414802">
              <w:rPr>
                <w:sz w:val="18"/>
                <w:szCs w:val="18"/>
              </w:rPr>
              <w:t>Baja</w:t>
            </w:r>
          </w:p>
        </w:tc>
      </w:tr>
      <w:tr w:rsidR="003B41C3" w:rsidRPr="007C3F70" w14:paraId="34A1E08D"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1E347C25" w14:textId="77777777" w:rsidR="003B41C3" w:rsidRPr="00414802" w:rsidRDefault="003B41C3" w:rsidP="003B41C3">
            <w:pPr>
              <w:rPr>
                <w:b/>
                <w:sz w:val="18"/>
                <w:szCs w:val="18"/>
              </w:rPr>
            </w:pPr>
            <w:r w:rsidRPr="00414802">
              <w:rPr>
                <w:b/>
                <w:sz w:val="18"/>
                <w:szCs w:val="18"/>
              </w:rPr>
              <w:t>9</w:t>
            </w:r>
          </w:p>
        </w:tc>
        <w:tc>
          <w:tcPr>
            <w:tcW w:w="1700" w:type="dxa"/>
            <w:tcBorders>
              <w:top w:val="single" w:sz="4" w:space="0" w:color="auto"/>
              <w:left w:val="single" w:sz="4" w:space="0" w:color="auto"/>
              <w:bottom w:val="single" w:sz="4" w:space="0" w:color="auto"/>
              <w:right w:val="single" w:sz="4" w:space="0" w:color="auto"/>
            </w:tcBorders>
          </w:tcPr>
          <w:p w14:paraId="5E8B6A29" w14:textId="77777777" w:rsidR="003B41C3" w:rsidRPr="00414802" w:rsidRDefault="003B41C3" w:rsidP="003B41C3">
            <w:pPr>
              <w:spacing w:line="0" w:lineRule="atLeast"/>
              <w:rPr>
                <w:sz w:val="18"/>
                <w:szCs w:val="18"/>
              </w:rPr>
            </w:pPr>
            <w:r w:rsidRPr="00414802">
              <w:rPr>
                <w:sz w:val="18"/>
                <w:szCs w:val="18"/>
              </w:rPr>
              <w:t xml:space="preserve">Acción de Grupo </w:t>
            </w:r>
          </w:p>
          <w:p w14:paraId="2574951E" w14:textId="77777777" w:rsidR="003B41C3" w:rsidRPr="00414802" w:rsidRDefault="003B41C3" w:rsidP="003B41C3">
            <w:pPr>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04895ACC" w14:textId="77777777" w:rsidR="003B41C3" w:rsidRPr="00414802" w:rsidRDefault="003B41C3" w:rsidP="003B41C3">
            <w:pPr>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hideMark/>
          </w:tcPr>
          <w:p w14:paraId="246CEEBF" w14:textId="77777777" w:rsidR="003B41C3" w:rsidRPr="00414802" w:rsidRDefault="003B41C3" w:rsidP="003B41C3">
            <w:pPr>
              <w:jc w:val="both"/>
              <w:rPr>
                <w:sz w:val="18"/>
                <w:szCs w:val="18"/>
              </w:rPr>
            </w:pPr>
            <w:r w:rsidRPr="00414802">
              <w:rPr>
                <w:sz w:val="18"/>
                <w:szCs w:val="18"/>
              </w:rPr>
              <w:t>$2.236.584.601.382</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0FD66E" w14:textId="77777777" w:rsidR="003B41C3" w:rsidRPr="00414802" w:rsidRDefault="003B41C3" w:rsidP="003B41C3">
            <w:pPr>
              <w:jc w:val="center"/>
              <w:rPr>
                <w:sz w:val="18"/>
                <w:szCs w:val="18"/>
              </w:rPr>
            </w:pPr>
            <w:r w:rsidRPr="00414802">
              <w:rPr>
                <w:sz w:val="18"/>
                <w:szCs w:val="18"/>
              </w:rPr>
              <w:t>Baja</w:t>
            </w:r>
          </w:p>
        </w:tc>
      </w:tr>
      <w:tr w:rsidR="003B41C3" w:rsidRPr="007C3F70" w14:paraId="32EA550B"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4130499B" w14:textId="77777777" w:rsidR="003B41C3" w:rsidRPr="00414802" w:rsidRDefault="003B41C3" w:rsidP="003B41C3">
            <w:pPr>
              <w:rPr>
                <w:b/>
                <w:sz w:val="18"/>
                <w:szCs w:val="18"/>
              </w:rPr>
            </w:pPr>
            <w:r w:rsidRPr="00414802">
              <w:rPr>
                <w:b/>
                <w:sz w:val="18"/>
                <w:szCs w:val="18"/>
              </w:rPr>
              <w:t>10</w:t>
            </w:r>
          </w:p>
        </w:tc>
        <w:tc>
          <w:tcPr>
            <w:tcW w:w="1700" w:type="dxa"/>
            <w:tcBorders>
              <w:top w:val="single" w:sz="4" w:space="0" w:color="auto"/>
              <w:left w:val="single" w:sz="4" w:space="0" w:color="auto"/>
              <w:bottom w:val="single" w:sz="4" w:space="0" w:color="auto"/>
              <w:right w:val="single" w:sz="4" w:space="0" w:color="auto"/>
            </w:tcBorders>
          </w:tcPr>
          <w:p w14:paraId="74849B9E" w14:textId="77777777" w:rsidR="003B41C3" w:rsidRPr="00414802" w:rsidRDefault="003B41C3" w:rsidP="003B41C3">
            <w:pPr>
              <w:spacing w:line="0" w:lineRule="atLeast"/>
              <w:rPr>
                <w:sz w:val="18"/>
                <w:szCs w:val="18"/>
              </w:rPr>
            </w:pPr>
            <w:r w:rsidRPr="00414802">
              <w:rPr>
                <w:sz w:val="18"/>
                <w:szCs w:val="18"/>
              </w:rPr>
              <w:t xml:space="preserve">Acción de Grupo </w:t>
            </w:r>
          </w:p>
          <w:p w14:paraId="1E52F436" w14:textId="77777777" w:rsidR="003B41C3" w:rsidRPr="00414802" w:rsidRDefault="003B41C3" w:rsidP="003B41C3">
            <w:pPr>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6F6F802D" w14:textId="77777777" w:rsidR="003B41C3" w:rsidRPr="00414802" w:rsidRDefault="003B41C3" w:rsidP="003B41C3">
            <w:pPr>
              <w:spacing w:line="0" w:lineRule="atLeast"/>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hideMark/>
          </w:tcPr>
          <w:p w14:paraId="23951FE8" w14:textId="77777777" w:rsidR="003B41C3" w:rsidRPr="00414802" w:rsidRDefault="003B41C3" w:rsidP="003B41C3">
            <w:pPr>
              <w:rPr>
                <w:sz w:val="18"/>
                <w:szCs w:val="18"/>
              </w:rPr>
            </w:pPr>
            <w:r w:rsidRPr="00414802">
              <w:rPr>
                <w:sz w:val="18"/>
                <w:szCs w:val="18"/>
              </w:rPr>
              <w:t>$2.192.404.000.000</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F5CDF1" w14:textId="77777777" w:rsidR="003B41C3" w:rsidRPr="00414802" w:rsidRDefault="003B41C3" w:rsidP="003B41C3">
            <w:pPr>
              <w:jc w:val="center"/>
              <w:rPr>
                <w:sz w:val="18"/>
                <w:szCs w:val="18"/>
              </w:rPr>
            </w:pPr>
            <w:r w:rsidRPr="00414802">
              <w:rPr>
                <w:sz w:val="18"/>
                <w:szCs w:val="18"/>
              </w:rPr>
              <w:t>Baja</w:t>
            </w:r>
          </w:p>
        </w:tc>
      </w:tr>
      <w:tr w:rsidR="003B41C3" w:rsidRPr="007C3F70" w14:paraId="13CD04E2"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62CD4D34" w14:textId="77777777" w:rsidR="003B41C3" w:rsidRPr="00414802" w:rsidRDefault="003B41C3" w:rsidP="003B41C3">
            <w:pPr>
              <w:rPr>
                <w:b/>
                <w:sz w:val="18"/>
                <w:szCs w:val="18"/>
              </w:rPr>
            </w:pPr>
            <w:r w:rsidRPr="00414802">
              <w:rPr>
                <w:b/>
                <w:sz w:val="18"/>
                <w:szCs w:val="18"/>
              </w:rPr>
              <w:t>11</w:t>
            </w:r>
          </w:p>
        </w:tc>
        <w:tc>
          <w:tcPr>
            <w:tcW w:w="1700" w:type="dxa"/>
            <w:tcBorders>
              <w:top w:val="single" w:sz="4" w:space="0" w:color="auto"/>
              <w:left w:val="single" w:sz="4" w:space="0" w:color="auto"/>
              <w:bottom w:val="single" w:sz="4" w:space="0" w:color="auto"/>
              <w:right w:val="single" w:sz="4" w:space="0" w:color="auto"/>
            </w:tcBorders>
          </w:tcPr>
          <w:p w14:paraId="7917A54B" w14:textId="77777777" w:rsidR="003B41C3" w:rsidRPr="00414802" w:rsidRDefault="003B41C3" w:rsidP="003B41C3">
            <w:pPr>
              <w:spacing w:line="0" w:lineRule="atLeast"/>
              <w:rPr>
                <w:sz w:val="18"/>
                <w:szCs w:val="18"/>
              </w:rPr>
            </w:pPr>
            <w:r w:rsidRPr="00414802">
              <w:rPr>
                <w:sz w:val="18"/>
                <w:szCs w:val="18"/>
              </w:rPr>
              <w:t xml:space="preserve">Acción de Grupo </w:t>
            </w:r>
          </w:p>
          <w:p w14:paraId="1B2D338C" w14:textId="77777777" w:rsidR="003B41C3" w:rsidRPr="00414802" w:rsidRDefault="003B41C3" w:rsidP="003B41C3">
            <w:pPr>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301F3ABB" w14:textId="77777777" w:rsidR="003B41C3" w:rsidRPr="00414802" w:rsidRDefault="003B41C3" w:rsidP="003B41C3">
            <w:pPr>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hideMark/>
          </w:tcPr>
          <w:p w14:paraId="391CEC9A" w14:textId="77777777" w:rsidR="003B41C3" w:rsidRPr="00414802" w:rsidRDefault="003B41C3" w:rsidP="003B41C3">
            <w:pPr>
              <w:rPr>
                <w:sz w:val="18"/>
                <w:szCs w:val="18"/>
              </w:rPr>
            </w:pPr>
            <w:r w:rsidRPr="00414802">
              <w:rPr>
                <w:sz w:val="18"/>
                <w:szCs w:val="18"/>
              </w:rPr>
              <w:t>$2.192.404.000.000</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ADB387" w14:textId="77777777" w:rsidR="003B41C3" w:rsidRPr="00414802" w:rsidRDefault="003B41C3" w:rsidP="003B41C3">
            <w:pPr>
              <w:jc w:val="center"/>
              <w:rPr>
                <w:sz w:val="18"/>
                <w:szCs w:val="18"/>
              </w:rPr>
            </w:pPr>
            <w:r w:rsidRPr="00414802">
              <w:rPr>
                <w:sz w:val="18"/>
                <w:szCs w:val="18"/>
              </w:rPr>
              <w:t>Baja</w:t>
            </w:r>
          </w:p>
        </w:tc>
      </w:tr>
      <w:tr w:rsidR="003B41C3" w:rsidRPr="007C3F70" w14:paraId="6494B56C"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B41067A" w14:textId="77777777" w:rsidR="003B41C3" w:rsidRPr="00414802" w:rsidRDefault="003B41C3" w:rsidP="003B41C3">
            <w:pPr>
              <w:rPr>
                <w:b/>
                <w:sz w:val="18"/>
                <w:szCs w:val="18"/>
              </w:rPr>
            </w:pPr>
            <w:r w:rsidRPr="00414802">
              <w:rPr>
                <w:b/>
                <w:sz w:val="18"/>
                <w:szCs w:val="18"/>
              </w:rPr>
              <w:t>12</w:t>
            </w:r>
          </w:p>
        </w:tc>
        <w:tc>
          <w:tcPr>
            <w:tcW w:w="1700" w:type="dxa"/>
            <w:tcBorders>
              <w:top w:val="single" w:sz="4" w:space="0" w:color="auto"/>
              <w:left w:val="single" w:sz="4" w:space="0" w:color="auto"/>
              <w:bottom w:val="single" w:sz="4" w:space="0" w:color="auto"/>
              <w:right w:val="single" w:sz="4" w:space="0" w:color="auto"/>
            </w:tcBorders>
          </w:tcPr>
          <w:p w14:paraId="48A24EE3" w14:textId="77777777" w:rsidR="003B41C3" w:rsidRPr="00414802" w:rsidRDefault="003B41C3" w:rsidP="003B41C3">
            <w:pPr>
              <w:spacing w:line="0" w:lineRule="atLeast"/>
              <w:rPr>
                <w:sz w:val="18"/>
                <w:szCs w:val="18"/>
              </w:rPr>
            </w:pPr>
            <w:r w:rsidRPr="00414802">
              <w:rPr>
                <w:sz w:val="18"/>
                <w:szCs w:val="18"/>
              </w:rPr>
              <w:t>Acción de Grupo</w:t>
            </w:r>
          </w:p>
          <w:p w14:paraId="15B928C5" w14:textId="77777777" w:rsidR="003B41C3" w:rsidRPr="00414802" w:rsidRDefault="003B41C3" w:rsidP="003B41C3">
            <w:pPr>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7B5DB9EC" w14:textId="77777777" w:rsidR="003B41C3" w:rsidRPr="00414802" w:rsidRDefault="003B41C3" w:rsidP="003B41C3">
            <w:pPr>
              <w:spacing w:line="0" w:lineRule="atLeast"/>
              <w:rPr>
                <w:sz w:val="18"/>
                <w:szCs w:val="18"/>
              </w:rPr>
            </w:pPr>
            <w:r w:rsidRPr="00414802">
              <w:rPr>
                <w:sz w:val="18"/>
                <w:szCs w:val="18"/>
              </w:rPr>
              <w:t>Min Defensa y Otros</w:t>
            </w:r>
          </w:p>
        </w:tc>
        <w:tc>
          <w:tcPr>
            <w:tcW w:w="1984" w:type="dxa"/>
            <w:tcBorders>
              <w:top w:val="single" w:sz="4" w:space="0" w:color="auto"/>
              <w:left w:val="single" w:sz="4" w:space="0" w:color="auto"/>
              <w:bottom w:val="single" w:sz="4" w:space="0" w:color="auto"/>
              <w:right w:val="single" w:sz="4" w:space="0" w:color="auto"/>
            </w:tcBorders>
            <w:hideMark/>
          </w:tcPr>
          <w:p w14:paraId="55B280F4" w14:textId="77777777" w:rsidR="003B41C3" w:rsidRPr="00414802" w:rsidRDefault="003B41C3" w:rsidP="003B41C3">
            <w:pPr>
              <w:rPr>
                <w:sz w:val="18"/>
                <w:szCs w:val="18"/>
              </w:rPr>
            </w:pPr>
            <w:r w:rsidRPr="00414802">
              <w:rPr>
                <w:sz w:val="18"/>
                <w:szCs w:val="18"/>
              </w:rPr>
              <w:t>$1.996.909.879.234</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C09F1F9" w14:textId="77777777" w:rsidR="003B41C3" w:rsidRPr="00414802" w:rsidRDefault="003B41C3" w:rsidP="003B41C3">
            <w:pPr>
              <w:jc w:val="center"/>
              <w:rPr>
                <w:sz w:val="18"/>
                <w:szCs w:val="18"/>
              </w:rPr>
            </w:pPr>
            <w:r w:rsidRPr="00414802">
              <w:rPr>
                <w:sz w:val="18"/>
                <w:szCs w:val="18"/>
              </w:rPr>
              <w:t>Alta</w:t>
            </w:r>
          </w:p>
        </w:tc>
      </w:tr>
      <w:tr w:rsidR="003B41C3" w:rsidRPr="007C3F70" w14:paraId="18BBEACF"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800D384" w14:textId="77777777" w:rsidR="003B41C3" w:rsidRPr="00414802" w:rsidRDefault="003B41C3" w:rsidP="003B41C3">
            <w:pPr>
              <w:rPr>
                <w:b/>
                <w:sz w:val="18"/>
                <w:szCs w:val="18"/>
              </w:rPr>
            </w:pPr>
            <w:r w:rsidRPr="00414802">
              <w:rPr>
                <w:b/>
                <w:sz w:val="18"/>
                <w:szCs w:val="18"/>
              </w:rPr>
              <w:t>13</w:t>
            </w:r>
          </w:p>
        </w:tc>
        <w:tc>
          <w:tcPr>
            <w:tcW w:w="1700" w:type="dxa"/>
            <w:tcBorders>
              <w:top w:val="single" w:sz="4" w:space="0" w:color="auto"/>
              <w:left w:val="single" w:sz="4" w:space="0" w:color="auto"/>
              <w:bottom w:val="single" w:sz="4" w:space="0" w:color="auto"/>
              <w:right w:val="single" w:sz="4" w:space="0" w:color="auto"/>
            </w:tcBorders>
            <w:hideMark/>
          </w:tcPr>
          <w:p w14:paraId="12BF3C48" w14:textId="77777777" w:rsidR="003B41C3" w:rsidRPr="00414802" w:rsidRDefault="003B41C3" w:rsidP="003B41C3">
            <w:pPr>
              <w:tabs>
                <w:tab w:val="left" w:pos="4536"/>
              </w:tabs>
              <w:spacing w:line="0" w:lineRule="atLeast"/>
              <w:jc w:val="both"/>
              <w:rPr>
                <w:sz w:val="18"/>
                <w:szCs w:val="18"/>
              </w:rPr>
            </w:pPr>
            <w:r w:rsidRPr="00414802">
              <w:rPr>
                <w:sz w:val="18"/>
                <w:szCs w:val="18"/>
                <w:lang w:val="es-MX"/>
              </w:rPr>
              <w:t>Acción Reparación Directa</w:t>
            </w:r>
          </w:p>
        </w:tc>
        <w:tc>
          <w:tcPr>
            <w:tcW w:w="3376" w:type="dxa"/>
            <w:tcBorders>
              <w:top w:val="single" w:sz="4" w:space="0" w:color="auto"/>
              <w:left w:val="single" w:sz="4" w:space="0" w:color="auto"/>
              <w:bottom w:val="single" w:sz="4" w:space="0" w:color="auto"/>
              <w:right w:val="single" w:sz="4" w:space="0" w:color="auto"/>
            </w:tcBorders>
            <w:hideMark/>
          </w:tcPr>
          <w:p w14:paraId="4D785B04" w14:textId="77777777" w:rsidR="003B41C3" w:rsidRPr="00414802" w:rsidRDefault="003B41C3" w:rsidP="003B41C3">
            <w:pPr>
              <w:rPr>
                <w:sz w:val="18"/>
                <w:szCs w:val="18"/>
              </w:rPr>
            </w:pPr>
            <w:r w:rsidRPr="00414802">
              <w:rPr>
                <w:sz w:val="18"/>
                <w:szCs w:val="18"/>
                <w:lang w:val="es-MX"/>
              </w:rPr>
              <w:t xml:space="preserve">Ministerio de Transporte, </w:t>
            </w:r>
            <w:proofErr w:type="spellStart"/>
            <w:r w:rsidRPr="00414802">
              <w:rPr>
                <w:sz w:val="18"/>
                <w:szCs w:val="18"/>
                <w:lang w:val="es-MX"/>
              </w:rPr>
              <w:t>Transmilenio</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D487F86" w14:textId="77777777" w:rsidR="003B41C3" w:rsidRPr="00414802" w:rsidRDefault="003B41C3" w:rsidP="003B41C3">
            <w:pPr>
              <w:rPr>
                <w:sz w:val="18"/>
                <w:szCs w:val="18"/>
              </w:rPr>
            </w:pPr>
            <w:r w:rsidRPr="00414802">
              <w:rPr>
                <w:sz w:val="18"/>
                <w:szCs w:val="18"/>
                <w:lang w:val="es-MX"/>
              </w:rPr>
              <w:t>$1.784.363.721.696</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150EDB5" w14:textId="77777777" w:rsidR="003B41C3" w:rsidRPr="00414802" w:rsidRDefault="003B41C3" w:rsidP="003B41C3">
            <w:pPr>
              <w:jc w:val="center"/>
              <w:rPr>
                <w:sz w:val="18"/>
                <w:szCs w:val="18"/>
                <w:lang w:val="es-MX"/>
              </w:rPr>
            </w:pPr>
            <w:r w:rsidRPr="00414802">
              <w:rPr>
                <w:sz w:val="18"/>
                <w:szCs w:val="18"/>
                <w:lang w:val="es-MX"/>
              </w:rPr>
              <w:t>Baja</w:t>
            </w:r>
          </w:p>
        </w:tc>
      </w:tr>
      <w:tr w:rsidR="003B41C3" w:rsidRPr="007C3F70" w14:paraId="4A387788"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7C2BC78F" w14:textId="77777777" w:rsidR="003B41C3" w:rsidRPr="00414802" w:rsidRDefault="003B41C3" w:rsidP="003B41C3">
            <w:pPr>
              <w:rPr>
                <w:b/>
                <w:sz w:val="18"/>
                <w:szCs w:val="18"/>
              </w:rPr>
            </w:pPr>
            <w:r w:rsidRPr="00414802">
              <w:rPr>
                <w:b/>
                <w:sz w:val="18"/>
                <w:szCs w:val="18"/>
              </w:rPr>
              <w:t>14</w:t>
            </w:r>
          </w:p>
        </w:tc>
        <w:tc>
          <w:tcPr>
            <w:tcW w:w="1700" w:type="dxa"/>
            <w:tcBorders>
              <w:top w:val="single" w:sz="4" w:space="0" w:color="auto"/>
              <w:left w:val="single" w:sz="4" w:space="0" w:color="auto"/>
              <w:bottom w:val="single" w:sz="4" w:space="0" w:color="auto"/>
              <w:right w:val="single" w:sz="4" w:space="0" w:color="auto"/>
            </w:tcBorders>
          </w:tcPr>
          <w:p w14:paraId="3693C5C7" w14:textId="77777777" w:rsidR="003B41C3" w:rsidRPr="00414802" w:rsidRDefault="003B41C3" w:rsidP="003B41C3">
            <w:pPr>
              <w:tabs>
                <w:tab w:val="left" w:pos="4536"/>
              </w:tabs>
              <w:spacing w:line="0" w:lineRule="atLeast"/>
              <w:rPr>
                <w:sz w:val="18"/>
                <w:szCs w:val="18"/>
                <w:lang w:val="es-MX"/>
              </w:rPr>
            </w:pPr>
            <w:r w:rsidRPr="00414802">
              <w:rPr>
                <w:sz w:val="18"/>
                <w:szCs w:val="18"/>
                <w:lang w:val="es-MX"/>
              </w:rPr>
              <w:t>Acción de Grupo</w:t>
            </w:r>
          </w:p>
          <w:p w14:paraId="5E173916" w14:textId="77777777" w:rsidR="003B41C3" w:rsidRPr="00414802" w:rsidRDefault="003B41C3" w:rsidP="003B41C3">
            <w:pPr>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3BF5DA02" w14:textId="77777777" w:rsidR="003B41C3" w:rsidRPr="00414802" w:rsidRDefault="003B41C3" w:rsidP="003B41C3">
            <w:pPr>
              <w:rPr>
                <w:sz w:val="18"/>
                <w:szCs w:val="18"/>
              </w:rPr>
            </w:pPr>
            <w:proofErr w:type="spellStart"/>
            <w:r w:rsidRPr="00414802">
              <w:rPr>
                <w:sz w:val="18"/>
                <w:szCs w:val="18"/>
                <w:lang w:val="es-MX"/>
              </w:rPr>
              <w:t>Mintic</w:t>
            </w:r>
            <w:proofErr w:type="spellEnd"/>
            <w:r w:rsidRPr="00414802">
              <w:rPr>
                <w:sz w:val="18"/>
                <w:szCs w:val="18"/>
                <w:lang w:val="es-MX"/>
              </w:rPr>
              <w:t xml:space="preserve">. </w:t>
            </w:r>
            <w:r w:rsidR="00C15372">
              <w:rPr>
                <w:sz w:val="18"/>
                <w:szCs w:val="18"/>
                <w:lang w:val="es-MX"/>
              </w:rPr>
              <w:t>COMISIÓN DE REGULACIÓN DE COMUNICACIONES</w:t>
            </w:r>
          </w:p>
        </w:tc>
        <w:tc>
          <w:tcPr>
            <w:tcW w:w="1984" w:type="dxa"/>
            <w:tcBorders>
              <w:top w:val="single" w:sz="4" w:space="0" w:color="auto"/>
              <w:left w:val="single" w:sz="4" w:space="0" w:color="auto"/>
              <w:bottom w:val="single" w:sz="4" w:space="0" w:color="auto"/>
              <w:right w:val="single" w:sz="4" w:space="0" w:color="auto"/>
            </w:tcBorders>
            <w:hideMark/>
          </w:tcPr>
          <w:p w14:paraId="61B95079" w14:textId="77777777" w:rsidR="003B41C3" w:rsidRPr="00414802" w:rsidRDefault="003B41C3" w:rsidP="003B41C3">
            <w:pPr>
              <w:rPr>
                <w:sz w:val="18"/>
                <w:szCs w:val="18"/>
              </w:rPr>
            </w:pPr>
            <w:r w:rsidRPr="00414802">
              <w:rPr>
                <w:sz w:val="18"/>
                <w:szCs w:val="18"/>
                <w:lang w:val="es-MX"/>
              </w:rPr>
              <w:t>$1.475.330.523.813</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511251" w14:textId="77777777" w:rsidR="003B41C3" w:rsidRPr="00414802" w:rsidRDefault="003B41C3" w:rsidP="003B41C3">
            <w:pPr>
              <w:jc w:val="center"/>
              <w:rPr>
                <w:sz w:val="18"/>
                <w:szCs w:val="18"/>
                <w:lang w:val="es-MX"/>
              </w:rPr>
            </w:pPr>
            <w:r w:rsidRPr="00414802">
              <w:rPr>
                <w:sz w:val="18"/>
                <w:szCs w:val="18"/>
                <w:lang w:val="es-MX"/>
              </w:rPr>
              <w:t>Media</w:t>
            </w:r>
          </w:p>
        </w:tc>
      </w:tr>
      <w:tr w:rsidR="003B41C3" w:rsidRPr="007C3F70" w14:paraId="38A5F327"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734E6888" w14:textId="77777777" w:rsidR="003B41C3" w:rsidRPr="00414802" w:rsidRDefault="003B41C3" w:rsidP="003B41C3">
            <w:pPr>
              <w:rPr>
                <w:b/>
                <w:sz w:val="18"/>
                <w:szCs w:val="18"/>
              </w:rPr>
            </w:pPr>
            <w:r w:rsidRPr="00414802">
              <w:rPr>
                <w:b/>
                <w:sz w:val="18"/>
                <w:szCs w:val="18"/>
              </w:rPr>
              <w:t>15</w:t>
            </w:r>
          </w:p>
        </w:tc>
        <w:tc>
          <w:tcPr>
            <w:tcW w:w="1700" w:type="dxa"/>
            <w:tcBorders>
              <w:top w:val="single" w:sz="4" w:space="0" w:color="auto"/>
              <w:left w:val="single" w:sz="4" w:space="0" w:color="auto"/>
              <w:bottom w:val="single" w:sz="4" w:space="0" w:color="auto"/>
              <w:right w:val="single" w:sz="4" w:space="0" w:color="auto"/>
            </w:tcBorders>
            <w:hideMark/>
          </w:tcPr>
          <w:p w14:paraId="220D183A" w14:textId="77777777" w:rsidR="003B41C3" w:rsidRPr="00414802" w:rsidRDefault="003B41C3" w:rsidP="003B41C3">
            <w:pPr>
              <w:spacing w:line="0" w:lineRule="atLeast"/>
              <w:rPr>
                <w:sz w:val="18"/>
                <w:szCs w:val="18"/>
              </w:rPr>
            </w:pPr>
            <w:r w:rsidRPr="00414802">
              <w:rPr>
                <w:sz w:val="18"/>
                <w:szCs w:val="18"/>
              </w:rPr>
              <w:t xml:space="preserve">Acción de Grupo </w:t>
            </w:r>
          </w:p>
        </w:tc>
        <w:tc>
          <w:tcPr>
            <w:tcW w:w="3376" w:type="dxa"/>
            <w:tcBorders>
              <w:top w:val="single" w:sz="4" w:space="0" w:color="auto"/>
              <w:left w:val="single" w:sz="4" w:space="0" w:color="auto"/>
              <w:bottom w:val="single" w:sz="4" w:space="0" w:color="auto"/>
              <w:right w:val="single" w:sz="4" w:space="0" w:color="auto"/>
            </w:tcBorders>
            <w:hideMark/>
          </w:tcPr>
          <w:p w14:paraId="6B67356B" w14:textId="77777777" w:rsidR="003B41C3" w:rsidRPr="00414802" w:rsidRDefault="003B41C3" w:rsidP="003B41C3">
            <w:pPr>
              <w:spacing w:line="0" w:lineRule="atLeast"/>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tcPr>
          <w:p w14:paraId="71794D98" w14:textId="77777777" w:rsidR="003B41C3" w:rsidRPr="00414802" w:rsidRDefault="003B41C3" w:rsidP="003B41C3">
            <w:pPr>
              <w:spacing w:line="0" w:lineRule="atLeast"/>
              <w:rPr>
                <w:sz w:val="18"/>
                <w:szCs w:val="18"/>
              </w:rPr>
            </w:pPr>
            <w:r w:rsidRPr="00414802">
              <w:rPr>
                <w:sz w:val="18"/>
                <w:szCs w:val="18"/>
              </w:rPr>
              <w:t>$1.315.442.400.000</w:t>
            </w:r>
          </w:p>
          <w:p w14:paraId="55A2A6A5" w14:textId="77777777" w:rsidR="003B41C3" w:rsidRPr="00414802" w:rsidRDefault="003B41C3" w:rsidP="003B41C3">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BDFED78" w14:textId="77777777" w:rsidR="003B41C3" w:rsidRPr="00414802" w:rsidRDefault="003B41C3" w:rsidP="003B41C3">
            <w:pPr>
              <w:spacing w:line="0" w:lineRule="atLeast"/>
              <w:jc w:val="center"/>
              <w:rPr>
                <w:sz w:val="18"/>
                <w:szCs w:val="18"/>
              </w:rPr>
            </w:pPr>
            <w:r w:rsidRPr="00414802">
              <w:rPr>
                <w:sz w:val="18"/>
                <w:szCs w:val="18"/>
              </w:rPr>
              <w:t>Baja</w:t>
            </w:r>
          </w:p>
        </w:tc>
      </w:tr>
      <w:tr w:rsidR="003B41C3" w:rsidRPr="007C3F70" w14:paraId="6406ED7F"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516E01D9" w14:textId="77777777" w:rsidR="003B41C3" w:rsidRPr="00414802" w:rsidRDefault="003B41C3" w:rsidP="003B41C3">
            <w:pPr>
              <w:rPr>
                <w:b/>
                <w:sz w:val="18"/>
                <w:szCs w:val="18"/>
              </w:rPr>
            </w:pPr>
            <w:r w:rsidRPr="00414802">
              <w:rPr>
                <w:b/>
                <w:sz w:val="18"/>
                <w:szCs w:val="18"/>
              </w:rPr>
              <w:t>16</w:t>
            </w:r>
          </w:p>
        </w:tc>
        <w:tc>
          <w:tcPr>
            <w:tcW w:w="1700" w:type="dxa"/>
            <w:tcBorders>
              <w:top w:val="single" w:sz="4" w:space="0" w:color="auto"/>
              <w:left w:val="single" w:sz="4" w:space="0" w:color="auto"/>
              <w:bottom w:val="single" w:sz="4" w:space="0" w:color="auto"/>
              <w:right w:val="single" w:sz="4" w:space="0" w:color="auto"/>
            </w:tcBorders>
            <w:hideMark/>
          </w:tcPr>
          <w:p w14:paraId="0449C424" w14:textId="77777777" w:rsidR="003B41C3" w:rsidRPr="00414802" w:rsidRDefault="003B41C3" w:rsidP="003B41C3">
            <w:pPr>
              <w:spacing w:line="0" w:lineRule="atLeast"/>
              <w:jc w:val="both"/>
              <w:rPr>
                <w:sz w:val="18"/>
                <w:szCs w:val="18"/>
              </w:rPr>
            </w:pPr>
            <w:r w:rsidRPr="00414802">
              <w:rPr>
                <w:sz w:val="18"/>
                <w:szCs w:val="18"/>
              </w:rPr>
              <w:t>Acción Nulidad Restablecimiento del Derecho</w:t>
            </w:r>
          </w:p>
        </w:tc>
        <w:tc>
          <w:tcPr>
            <w:tcW w:w="3376" w:type="dxa"/>
            <w:tcBorders>
              <w:top w:val="single" w:sz="4" w:space="0" w:color="auto"/>
              <w:left w:val="single" w:sz="4" w:space="0" w:color="auto"/>
              <w:bottom w:val="single" w:sz="4" w:space="0" w:color="auto"/>
              <w:right w:val="single" w:sz="4" w:space="0" w:color="auto"/>
            </w:tcBorders>
          </w:tcPr>
          <w:p w14:paraId="1CF6588B" w14:textId="77777777" w:rsidR="003B41C3" w:rsidRPr="00414802" w:rsidRDefault="00C15372" w:rsidP="003B41C3">
            <w:pPr>
              <w:spacing w:line="0" w:lineRule="atLeast"/>
              <w:jc w:val="both"/>
              <w:rPr>
                <w:sz w:val="18"/>
                <w:szCs w:val="18"/>
              </w:rPr>
            </w:pPr>
            <w:r>
              <w:rPr>
                <w:sz w:val="18"/>
                <w:szCs w:val="18"/>
              </w:rPr>
              <w:t>Ministerio de Hacienda y Crédito Público</w:t>
            </w:r>
            <w:r w:rsidR="003B41C3" w:rsidRPr="00414802">
              <w:rPr>
                <w:sz w:val="18"/>
                <w:szCs w:val="18"/>
              </w:rPr>
              <w:t>, Banco de la República y Otro</w:t>
            </w:r>
          </w:p>
          <w:p w14:paraId="31AFA091" w14:textId="77777777" w:rsidR="003B41C3" w:rsidRPr="00414802" w:rsidRDefault="003B41C3" w:rsidP="003B41C3">
            <w:pP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9AFACDF" w14:textId="77777777" w:rsidR="003B41C3" w:rsidRPr="00414802" w:rsidRDefault="003B41C3" w:rsidP="003B41C3">
            <w:pPr>
              <w:spacing w:line="0" w:lineRule="atLeast"/>
              <w:rPr>
                <w:sz w:val="18"/>
                <w:szCs w:val="18"/>
              </w:rPr>
            </w:pPr>
            <w:r w:rsidRPr="00414802">
              <w:rPr>
                <w:sz w:val="18"/>
                <w:szCs w:val="18"/>
              </w:rPr>
              <w:t>$1.184.492.952.000</w:t>
            </w:r>
          </w:p>
          <w:p w14:paraId="2387CAD1" w14:textId="77777777" w:rsidR="003B41C3" w:rsidRPr="00414802" w:rsidRDefault="003B41C3" w:rsidP="003B41C3">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7C8BAB" w14:textId="77777777" w:rsidR="003B41C3" w:rsidRPr="00414802" w:rsidRDefault="003B41C3" w:rsidP="003B41C3">
            <w:pPr>
              <w:spacing w:line="0" w:lineRule="atLeast"/>
              <w:jc w:val="center"/>
              <w:rPr>
                <w:sz w:val="18"/>
                <w:szCs w:val="18"/>
              </w:rPr>
            </w:pPr>
            <w:r w:rsidRPr="00414802">
              <w:rPr>
                <w:sz w:val="18"/>
                <w:szCs w:val="18"/>
              </w:rPr>
              <w:t>Baja</w:t>
            </w:r>
          </w:p>
        </w:tc>
      </w:tr>
      <w:tr w:rsidR="003B41C3" w:rsidRPr="007C3F70" w14:paraId="1684FE49"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78D1FAD3" w14:textId="77777777" w:rsidR="003B41C3" w:rsidRPr="00414802" w:rsidRDefault="003B41C3" w:rsidP="003B41C3">
            <w:pPr>
              <w:rPr>
                <w:b/>
                <w:sz w:val="18"/>
                <w:szCs w:val="18"/>
              </w:rPr>
            </w:pPr>
            <w:r w:rsidRPr="00414802">
              <w:rPr>
                <w:b/>
                <w:sz w:val="18"/>
                <w:szCs w:val="18"/>
              </w:rPr>
              <w:t>17</w:t>
            </w:r>
          </w:p>
        </w:tc>
        <w:tc>
          <w:tcPr>
            <w:tcW w:w="1700" w:type="dxa"/>
            <w:tcBorders>
              <w:top w:val="single" w:sz="4" w:space="0" w:color="auto"/>
              <w:left w:val="single" w:sz="4" w:space="0" w:color="auto"/>
              <w:bottom w:val="single" w:sz="4" w:space="0" w:color="auto"/>
              <w:right w:val="single" w:sz="4" w:space="0" w:color="auto"/>
            </w:tcBorders>
            <w:hideMark/>
          </w:tcPr>
          <w:p w14:paraId="2A905AC1" w14:textId="77777777" w:rsidR="003B41C3" w:rsidRPr="00414802" w:rsidRDefault="003B41C3" w:rsidP="003B41C3">
            <w:pPr>
              <w:spacing w:line="0" w:lineRule="atLeast"/>
              <w:jc w:val="both"/>
              <w:rPr>
                <w:sz w:val="18"/>
                <w:szCs w:val="18"/>
              </w:rPr>
            </w:pPr>
            <w:r w:rsidRPr="00414802">
              <w:rPr>
                <w:sz w:val="18"/>
                <w:szCs w:val="18"/>
              </w:rPr>
              <w:t>Acción Reparación Directa</w:t>
            </w:r>
          </w:p>
        </w:tc>
        <w:tc>
          <w:tcPr>
            <w:tcW w:w="3376" w:type="dxa"/>
            <w:tcBorders>
              <w:top w:val="single" w:sz="4" w:space="0" w:color="auto"/>
              <w:left w:val="single" w:sz="4" w:space="0" w:color="auto"/>
              <w:bottom w:val="single" w:sz="4" w:space="0" w:color="auto"/>
              <w:right w:val="single" w:sz="4" w:space="0" w:color="auto"/>
            </w:tcBorders>
            <w:hideMark/>
          </w:tcPr>
          <w:p w14:paraId="7EF65961" w14:textId="77777777" w:rsidR="003B41C3" w:rsidRPr="00414802" w:rsidRDefault="003B41C3" w:rsidP="003B41C3">
            <w:pPr>
              <w:spacing w:after="120"/>
              <w:rPr>
                <w:sz w:val="18"/>
                <w:szCs w:val="18"/>
              </w:rPr>
            </w:pPr>
            <w:proofErr w:type="spellStart"/>
            <w:r w:rsidRPr="00414802">
              <w:rPr>
                <w:sz w:val="18"/>
                <w:szCs w:val="18"/>
              </w:rPr>
              <w:t>Aerocivil</w:t>
            </w:r>
            <w:proofErr w:type="spellEnd"/>
          </w:p>
        </w:tc>
        <w:tc>
          <w:tcPr>
            <w:tcW w:w="1984" w:type="dxa"/>
            <w:tcBorders>
              <w:top w:val="single" w:sz="4" w:space="0" w:color="auto"/>
              <w:left w:val="single" w:sz="4" w:space="0" w:color="auto"/>
              <w:bottom w:val="single" w:sz="4" w:space="0" w:color="auto"/>
              <w:right w:val="single" w:sz="4" w:space="0" w:color="auto"/>
            </w:tcBorders>
          </w:tcPr>
          <w:p w14:paraId="4BCFD214" w14:textId="77777777" w:rsidR="003B41C3" w:rsidRPr="00414802" w:rsidRDefault="003B41C3" w:rsidP="003B41C3">
            <w:pPr>
              <w:spacing w:line="0" w:lineRule="atLeast"/>
              <w:rPr>
                <w:sz w:val="18"/>
                <w:szCs w:val="18"/>
              </w:rPr>
            </w:pPr>
            <w:r w:rsidRPr="00414802">
              <w:rPr>
                <w:sz w:val="18"/>
                <w:szCs w:val="18"/>
              </w:rPr>
              <w:t>$1.102.764.291.684</w:t>
            </w:r>
          </w:p>
          <w:p w14:paraId="7EBB1C35" w14:textId="77777777" w:rsidR="003B41C3" w:rsidRPr="00414802" w:rsidRDefault="003B41C3" w:rsidP="003B41C3">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B362060" w14:textId="77777777" w:rsidR="003B41C3" w:rsidRPr="00414802" w:rsidRDefault="003B41C3" w:rsidP="003B41C3">
            <w:pPr>
              <w:spacing w:line="0" w:lineRule="atLeast"/>
              <w:jc w:val="center"/>
              <w:rPr>
                <w:sz w:val="18"/>
                <w:szCs w:val="18"/>
              </w:rPr>
            </w:pPr>
            <w:r w:rsidRPr="00414802">
              <w:rPr>
                <w:sz w:val="18"/>
                <w:szCs w:val="18"/>
              </w:rPr>
              <w:t>Baja</w:t>
            </w:r>
          </w:p>
        </w:tc>
      </w:tr>
      <w:tr w:rsidR="003B41C3" w:rsidRPr="007C3F70" w14:paraId="041A8DAF"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071BF04B" w14:textId="77777777" w:rsidR="003B41C3" w:rsidRPr="00414802" w:rsidRDefault="003B41C3" w:rsidP="003B41C3">
            <w:pPr>
              <w:rPr>
                <w:b/>
                <w:sz w:val="18"/>
                <w:szCs w:val="18"/>
              </w:rPr>
            </w:pPr>
            <w:r w:rsidRPr="00414802">
              <w:rPr>
                <w:b/>
                <w:sz w:val="18"/>
                <w:szCs w:val="18"/>
              </w:rPr>
              <w:t>18</w:t>
            </w:r>
          </w:p>
        </w:tc>
        <w:tc>
          <w:tcPr>
            <w:tcW w:w="1700" w:type="dxa"/>
            <w:tcBorders>
              <w:top w:val="single" w:sz="4" w:space="0" w:color="auto"/>
              <w:left w:val="single" w:sz="4" w:space="0" w:color="auto"/>
              <w:bottom w:val="single" w:sz="4" w:space="0" w:color="auto"/>
              <w:right w:val="single" w:sz="4" w:space="0" w:color="auto"/>
            </w:tcBorders>
          </w:tcPr>
          <w:p w14:paraId="55DE2272" w14:textId="77777777" w:rsidR="003B41C3" w:rsidRPr="00414802" w:rsidRDefault="003B41C3" w:rsidP="003B41C3">
            <w:pPr>
              <w:spacing w:line="0" w:lineRule="atLeast"/>
              <w:rPr>
                <w:sz w:val="18"/>
                <w:szCs w:val="18"/>
              </w:rPr>
            </w:pPr>
            <w:r w:rsidRPr="00414802">
              <w:rPr>
                <w:sz w:val="18"/>
                <w:szCs w:val="18"/>
              </w:rPr>
              <w:t>Acción de Grupo</w:t>
            </w:r>
          </w:p>
          <w:p w14:paraId="45DC47E8" w14:textId="77777777" w:rsidR="003B41C3" w:rsidRPr="00414802" w:rsidRDefault="003B41C3" w:rsidP="003B41C3">
            <w:pPr>
              <w:spacing w:line="0" w:lineRule="atLeast"/>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2EBF569D" w14:textId="77777777" w:rsidR="003B41C3" w:rsidRPr="00414802" w:rsidRDefault="003B41C3" w:rsidP="003B41C3">
            <w:pPr>
              <w:spacing w:after="200" w:line="0" w:lineRule="atLeast"/>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tcPr>
          <w:p w14:paraId="7D6A9BE0" w14:textId="77777777" w:rsidR="003B41C3" w:rsidRPr="00414802" w:rsidRDefault="003B41C3" w:rsidP="003B41C3">
            <w:pPr>
              <w:spacing w:line="0" w:lineRule="atLeast"/>
              <w:rPr>
                <w:sz w:val="18"/>
                <w:szCs w:val="18"/>
              </w:rPr>
            </w:pPr>
            <w:r w:rsidRPr="00414802">
              <w:rPr>
                <w:sz w:val="18"/>
                <w:szCs w:val="18"/>
              </w:rPr>
              <w:t>$1.096.202.000.000</w:t>
            </w:r>
          </w:p>
          <w:p w14:paraId="7DEACE37" w14:textId="77777777" w:rsidR="003B41C3" w:rsidRPr="00414802" w:rsidRDefault="003B41C3" w:rsidP="003B41C3">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F61F46" w14:textId="77777777" w:rsidR="003B41C3" w:rsidRPr="00414802" w:rsidRDefault="003B41C3" w:rsidP="003B41C3">
            <w:pPr>
              <w:spacing w:line="0" w:lineRule="atLeast"/>
              <w:jc w:val="center"/>
              <w:rPr>
                <w:sz w:val="18"/>
                <w:szCs w:val="18"/>
              </w:rPr>
            </w:pPr>
            <w:r w:rsidRPr="00414802">
              <w:rPr>
                <w:sz w:val="18"/>
                <w:szCs w:val="18"/>
              </w:rPr>
              <w:t>Baja</w:t>
            </w:r>
          </w:p>
        </w:tc>
      </w:tr>
      <w:tr w:rsidR="003B41C3" w:rsidRPr="007C3F70" w14:paraId="784283FC"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09BA3078" w14:textId="77777777" w:rsidR="003B41C3" w:rsidRPr="00414802" w:rsidRDefault="003B41C3" w:rsidP="003B41C3">
            <w:pPr>
              <w:rPr>
                <w:b/>
                <w:sz w:val="18"/>
                <w:szCs w:val="18"/>
              </w:rPr>
            </w:pPr>
            <w:r w:rsidRPr="00414802">
              <w:rPr>
                <w:b/>
                <w:sz w:val="18"/>
                <w:szCs w:val="18"/>
              </w:rPr>
              <w:t>19</w:t>
            </w:r>
          </w:p>
        </w:tc>
        <w:tc>
          <w:tcPr>
            <w:tcW w:w="1700" w:type="dxa"/>
            <w:tcBorders>
              <w:top w:val="single" w:sz="4" w:space="0" w:color="auto"/>
              <w:left w:val="single" w:sz="4" w:space="0" w:color="auto"/>
              <w:bottom w:val="single" w:sz="4" w:space="0" w:color="auto"/>
              <w:right w:val="single" w:sz="4" w:space="0" w:color="auto"/>
            </w:tcBorders>
          </w:tcPr>
          <w:p w14:paraId="46E2206B" w14:textId="77777777" w:rsidR="003B41C3" w:rsidRPr="00414802" w:rsidRDefault="003B41C3" w:rsidP="003B41C3">
            <w:pPr>
              <w:spacing w:line="0" w:lineRule="atLeast"/>
              <w:rPr>
                <w:sz w:val="18"/>
                <w:szCs w:val="18"/>
              </w:rPr>
            </w:pPr>
            <w:r w:rsidRPr="00414802">
              <w:rPr>
                <w:sz w:val="18"/>
                <w:szCs w:val="18"/>
              </w:rPr>
              <w:t xml:space="preserve">Acción de Grupo </w:t>
            </w:r>
          </w:p>
          <w:p w14:paraId="6C0284E1" w14:textId="77777777" w:rsidR="003B41C3" w:rsidRPr="00414802" w:rsidRDefault="003B41C3" w:rsidP="003B41C3">
            <w:pPr>
              <w:spacing w:line="0" w:lineRule="atLeast"/>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37B0AE0A" w14:textId="77777777" w:rsidR="003B41C3" w:rsidRPr="00414802" w:rsidRDefault="003B41C3" w:rsidP="003B41C3">
            <w:pPr>
              <w:spacing w:line="0" w:lineRule="atLeast"/>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tcPr>
          <w:p w14:paraId="10118AAE" w14:textId="77777777" w:rsidR="003B41C3" w:rsidRPr="00414802" w:rsidRDefault="003B41C3" w:rsidP="003B41C3">
            <w:pPr>
              <w:spacing w:line="0" w:lineRule="atLeast"/>
              <w:rPr>
                <w:sz w:val="18"/>
                <w:szCs w:val="18"/>
              </w:rPr>
            </w:pPr>
            <w:r w:rsidRPr="00414802">
              <w:rPr>
                <w:sz w:val="18"/>
                <w:szCs w:val="18"/>
              </w:rPr>
              <w:t>$1.096.202.000.000</w:t>
            </w:r>
          </w:p>
          <w:p w14:paraId="0C01EEE9" w14:textId="77777777" w:rsidR="003B41C3" w:rsidRPr="00414802" w:rsidRDefault="003B41C3" w:rsidP="003B41C3">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370EE0" w14:textId="77777777" w:rsidR="003B41C3" w:rsidRPr="00414802" w:rsidRDefault="003B41C3" w:rsidP="003B41C3">
            <w:pPr>
              <w:spacing w:line="0" w:lineRule="atLeast"/>
              <w:jc w:val="center"/>
              <w:rPr>
                <w:sz w:val="18"/>
                <w:szCs w:val="18"/>
              </w:rPr>
            </w:pPr>
            <w:r w:rsidRPr="00414802">
              <w:rPr>
                <w:sz w:val="18"/>
                <w:szCs w:val="18"/>
              </w:rPr>
              <w:t>Baja</w:t>
            </w:r>
          </w:p>
        </w:tc>
      </w:tr>
      <w:tr w:rsidR="003B41C3" w:rsidRPr="007C3F70" w14:paraId="428566B0"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ACE47DE" w14:textId="77777777" w:rsidR="003B41C3" w:rsidRPr="00414802" w:rsidRDefault="003B41C3" w:rsidP="003B41C3">
            <w:pPr>
              <w:rPr>
                <w:b/>
                <w:sz w:val="18"/>
                <w:szCs w:val="18"/>
              </w:rPr>
            </w:pPr>
            <w:r w:rsidRPr="00414802">
              <w:rPr>
                <w:b/>
                <w:sz w:val="18"/>
                <w:szCs w:val="18"/>
              </w:rPr>
              <w:t>20</w:t>
            </w:r>
          </w:p>
        </w:tc>
        <w:tc>
          <w:tcPr>
            <w:tcW w:w="1700" w:type="dxa"/>
            <w:tcBorders>
              <w:top w:val="single" w:sz="4" w:space="0" w:color="auto"/>
              <w:left w:val="single" w:sz="4" w:space="0" w:color="auto"/>
              <w:bottom w:val="single" w:sz="4" w:space="0" w:color="auto"/>
              <w:right w:val="single" w:sz="4" w:space="0" w:color="auto"/>
            </w:tcBorders>
          </w:tcPr>
          <w:p w14:paraId="46A7EA16" w14:textId="77777777" w:rsidR="003B41C3" w:rsidRPr="00414802" w:rsidRDefault="003B41C3" w:rsidP="003B41C3">
            <w:pPr>
              <w:spacing w:line="0" w:lineRule="atLeast"/>
              <w:rPr>
                <w:sz w:val="18"/>
                <w:szCs w:val="18"/>
              </w:rPr>
            </w:pPr>
            <w:r w:rsidRPr="00414802">
              <w:rPr>
                <w:sz w:val="18"/>
                <w:szCs w:val="18"/>
              </w:rPr>
              <w:t xml:space="preserve">Acción de Grupo </w:t>
            </w:r>
          </w:p>
          <w:p w14:paraId="32CC310C" w14:textId="77777777" w:rsidR="003B41C3" w:rsidRPr="00414802" w:rsidRDefault="003B41C3" w:rsidP="003B41C3">
            <w:pPr>
              <w:spacing w:line="0" w:lineRule="atLeast"/>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5E827824" w14:textId="77777777" w:rsidR="003B41C3" w:rsidRPr="00414802" w:rsidRDefault="003B41C3" w:rsidP="003B41C3">
            <w:pPr>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tcPr>
          <w:p w14:paraId="4E47F4AA" w14:textId="77777777" w:rsidR="003B41C3" w:rsidRPr="00414802" w:rsidRDefault="003B41C3" w:rsidP="003B41C3">
            <w:pPr>
              <w:spacing w:line="0" w:lineRule="atLeast"/>
              <w:rPr>
                <w:sz w:val="18"/>
                <w:szCs w:val="18"/>
              </w:rPr>
            </w:pPr>
            <w:r w:rsidRPr="00414802">
              <w:rPr>
                <w:sz w:val="18"/>
                <w:szCs w:val="18"/>
              </w:rPr>
              <w:t>$1.096.202.000.000</w:t>
            </w:r>
          </w:p>
          <w:p w14:paraId="3981F3B4" w14:textId="77777777" w:rsidR="003B41C3" w:rsidRPr="00414802" w:rsidRDefault="003B41C3" w:rsidP="003B41C3">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6F00FB" w14:textId="77777777" w:rsidR="003B41C3" w:rsidRPr="00414802" w:rsidRDefault="003B41C3" w:rsidP="003B41C3">
            <w:pPr>
              <w:spacing w:line="0" w:lineRule="atLeast"/>
              <w:jc w:val="center"/>
              <w:rPr>
                <w:sz w:val="18"/>
                <w:szCs w:val="18"/>
              </w:rPr>
            </w:pPr>
            <w:r w:rsidRPr="00414802">
              <w:rPr>
                <w:sz w:val="18"/>
                <w:szCs w:val="18"/>
              </w:rPr>
              <w:t>Baja</w:t>
            </w:r>
          </w:p>
        </w:tc>
      </w:tr>
      <w:tr w:rsidR="003B41C3" w:rsidRPr="007C3F70" w14:paraId="2DF4B95E"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12C14F0C" w14:textId="77777777" w:rsidR="003B41C3" w:rsidRPr="00414802" w:rsidRDefault="003B41C3" w:rsidP="003B41C3">
            <w:pPr>
              <w:rPr>
                <w:b/>
                <w:sz w:val="18"/>
                <w:szCs w:val="18"/>
              </w:rPr>
            </w:pPr>
            <w:r w:rsidRPr="00414802">
              <w:rPr>
                <w:b/>
                <w:sz w:val="18"/>
                <w:szCs w:val="18"/>
              </w:rPr>
              <w:t>21</w:t>
            </w:r>
          </w:p>
        </w:tc>
        <w:tc>
          <w:tcPr>
            <w:tcW w:w="1700" w:type="dxa"/>
            <w:tcBorders>
              <w:top w:val="single" w:sz="4" w:space="0" w:color="auto"/>
              <w:left w:val="single" w:sz="4" w:space="0" w:color="auto"/>
              <w:bottom w:val="single" w:sz="4" w:space="0" w:color="auto"/>
              <w:right w:val="single" w:sz="4" w:space="0" w:color="auto"/>
            </w:tcBorders>
          </w:tcPr>
          <w:p w14:paraId="1D02426C" w14:textId="77777777" w:rsidR="003B41C3" w:rsidRPr="00414802" w:rsidRDefault="003B41C3" w:rsidP="003B41C3">
            <w:pPr>
              <w:spacing w:line="0" w:lineRule="atLeast"/>
              <w:rPr>
                <w:sz w:val="18"/>
                <w:szCs w:val="18"/>
              </w:rPr>
            </w:pPr>
            <w:r w:rsidRPr="00414802">
              <w:rPr>
                <w:sz w:val="18"/>
                <w:szCs w:val="18"/>
              </w:rPr>
              <w:t xml:space="preserve">Acción de Grupo </w:t>
            </w:r>
          </w:p>
          <w:p w14:paraId="7ABAF283" w14:textId="77777777" w:rsidR="003B41C3" w:rsidRPr="00414802" w:rsidRDefault="003B41C3" w:rsidP="003B41C3">
            <w:pPr>
              <w:spacing w:line="0" w:lineRule="atLeast"/>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70F67E27" w14:textId="77777777" w:rsidR="003B41C3" w:rsidRPr="00414802" w:rsidRDefault="003B41C3" w:rsidP="003B41C3">
            <w:pPr>
              <w:spacing w:line="0" w:lineRule="atLeast"/>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tcPr>
          <w:p w14:paraId="3B529408" w14:textId="77777777" w:rsidR="003B41C3" w:rsidRPr="00414802" w:rsidRDefault="003B41C3" w:rsidP="003B41C3">
            <w:pPr>
              <w:spacing w:line="0" w:lineRule="atLeast"/>
              <w:rPr>
                <w:sz w:val="18"/>
                <w:szCs w:val="18"/>
              </w:rPr>
            </w:pPr>
            <w:r w:rsidRPr="00414802">
              <w:rPr>
                <w:sz w:val="18"/>
                <w:szCs w:val="18"/>
              </w:rPr>
              <w:t>$1.096.202.000.000</w:t>
            </w:r>
          </w:p>
          <w:p w14:paraId="6A05C61A" w14:textId="77777777" w:rsidR="003B41C3" w:rsidRPr="00414802" w:rsidRDefault="003B41C3" w:rsidP="003B41C3">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8DD36B" w14:textId="77777777" w:rsidR="003B41C3" w:rsidRPr="00414802" w:rsidRDefault="003B41C3" w:rsidP="003B41C3">
            <w:pPr>
              <w:spacing w:line="0" w:lineRule="atLeast"/>
              <w:jc w:val="center"/>
              <w:rPr>
                <w:sz w:val="18"/>
                <w:szCs w:val="18"/>
              </w:rPr>
            </w:pPr>
            <w:r w:rsidRPr="00414802">
              <w:rPr>
                <w:sz w:val="18"/>
                <w:szCs w:val="18"/>
              </w:rPr>
              <w:t>Baja</w:t>
            </w:r>
          </w:p>
        </w:tc>
      </w:tr>
      <w:tr w:rsidR="003B41C3" w:rsidRPr="007C3F70" w14:paraId="6527844D"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0780A9D" w14:textId="77777777" w:rsidR="003B41C3" w:rsidRPr="00414802" w:rsidRDefault="003B41C3" w:rsidP="003B41C3">
            <w:pPr>
              <w:rPr>
                <w:b/>
                <w:sz w:val="18"/>
                <w:szCs w:val="18"/>
              </w:rPr>
            </w:pPr>
            <w:r w:rsidRPr="00414802">
              <w:rPr>
                <w:b/>
                <w:sz w:val="18"/>
                <w:szCs w:val="18"/>
              </w:rPr>
              <w:t>22</w:t>
            </w:r>
          </w:p>
        </w:tc>
        <w:tc>
          <w:tcPr>
            <w:tcW w:w="1700" w:type="dxa"/>
            <w:tcBorders>
              <w:top w:val="single" w:sz="4" w:space="0" w:color="auto"/>
              <w:left w:val="single" w:sz="4" w:space="0" w:color="auto"/>
              <w:bottom w:val="single" w:sz="4" w:space="0" w:color="auto"/>
              <w:right w:val="single" w:sz="4" w:space="0" w:color="auto"/>
            </w:tcBorders>
          </w:tcPr>
          <w:p w14:paraId="383BFD1B" w14:textId="77777777" w:rsidR="003B41C3" w:rsidRPr="00414802" w:rsidRDefault="003B41C3" w:rsidP="003B41C3">
            <w:pPr>
              <w:spacing w:line="0" w:lineRule="atLeast"/>
              <w:rPr>
                <w:sz w:val="18"/>
                <w:szCs w:val="18"/>
              </w:rPr>
            </w:pPr>
            <w:r w:rsidRPr="00414802">
              <w:rPr>
                <w:sz w:val="18"/>
                <w:szCs w:val="18"/>
              </w:rPr>
              <w:t xml:space="preserve">Acción de Grupo </w:t>
            </w:r>
          </w:p>
          <w:p w14:paraId="7069C701" w14:textId="77777777" w:rsidR="003B41C3" w:rsidRPr="00414802" w:rsidRDefault="003B41C3" w:rsidP="003B41C3">
            <w:pPr>
              <w:spacing w:line="0" w:lineRule="atLeast"/>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2504552B" w14:textId="77777777" w:rsidR="003B41C3" w:rsidRPr="00414802" w:rsidRDefault="003B41C3" w:rsidP="003B41C3">
            <w:pPr>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tcPr>
          <w:p w14:paraId="32442A5D" w14:textId="77777777" w:rsidR="003B41C3" w:rsidRPr="00414802" w:rsidRDefault="003B41C3" w:rsidP="003B41C3">
            <w:pPr>
              <w:spacing w:line="0" w:lineRule="atLeast"/>
              <w:rPr>
                <w:sz w:val="18"/>
                <w:szCs w:val="18"/>
              </w:rPr>
            </w:pPr>
            <w:r w:rsidRPr="00414802">
              <w:rPr>
                <w:sz w:val="18"/>
                <w:szCs w:val="18"/>
              </w:rPr>
              <w:t>$1.096.202.000.000</w:t>
            </w:r>
          </w:p>
          <w:p w14:paraId="7C1A0028" w14:textId="77777777" w:rsidR="003B41C3" w:rsidRPr="00414802" w:rsidRDefault="003B41C3" w:rsidP="003B41C3">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C84FE96" w14:textId="77777777" w:rsidR="003B41C3" w:rsidRPr="00414802" w:rsidRDefault="003B41C3" w:rsidP="003B41C3">
            <w:pPr>
              <w:spacing w:line="0" w:lineRule="atLeast"/>
              <w:jc w:val="center"/>
              <w:rPr>
                <w:sz w:val="18"/>
                <w:szCs w:val="18"/>
              </w:rPr>
            </w:pPr>
            <w:r w:rsidRPr="00414802">
              <w:rPr>
                <w:sz w:val="18"/>
                <w:szCs w:val="18"/>
              </w:rPr>
              <w:t>Baja</w:t>
            </w:r>
          </w:p>
        </w:tc>
      </w:tr>
      <w:tr w:rsidR="003B41C3" w:rsidRPr="007C3F70" w14:paraId="6E0A8330"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380B6693" w14:textId="77777777" w:rsidR="003B41C3" w:rsidRPr="00414802" w:rsidRDefault="003B41C3" w:rsidP="003B41C3">
            <w:pPr>
              <w:rPr>
                <w:b/>
                <w:sz w:val="18"/>
                <w:szCs w:val="18"/>
              </w:rPr>
            </w:pPr>
            <w:r w:rsidRPr="00414802">
              <w:rPr>
                <w:b/>
                <w:sz w:val="18"/>
                <w:szCs w:val="18"/>
              </w:rPr>
              <w:t>23</w:t>
            </w:r>
          </w:p>
        </w:tc>
        <w:tc>
          <w:tcPr>
            <w:tcW w:w="1700" w:type="dxa"/>
            <w:tcBorders>
              <w:top w:val="single" w:sz="4" w:space="0" w:color="auto"/>
              <w:left w:val="single" w:sz="4" w:space="0" w:color="auto"/>
              <w:bottom w:val="single" w:sz="4" w:space="0" w:color="auto"/>
              <w:right w:val="single" w:sz="4" w:space="0" w:color="auto"/>
            </w:tcBorders>
          </w:tcPr>
          <w:p w14:paraId="286ADEC2" w14:textId="77777777" w:rsidR="003B41C3" w:rsidRPr="00414802" w:rsidRDefault="003B41C3" w:rsidP="003B41C3">
            <w:pPr>
              <w:spacing w:line="0" w:lineRule="atLeast"/>
              <w:rPr>
                <w:sz w:val="18"/>
                <w:szCs w:val="18"/>
              </w:rPr>
            </w:pPr>
            <w:r w:rsidRPr="00414802">
              <w:rPr>
                <w:sz w:val="18"/>
                <w:szCs w:val="18"/>
              </w:rPr>
              <w:t xml:space="preserve">Acción de Grupo </w:t>
            </w:r>
          </w:p>
          <w:p w14:paraId="26F08BA6" w14:textId="77777777" w:rsidR="003B41C3" w:rsidRPr="00414802" w:rsidRDefault="003B41C3" w:rsidP="003B41C3">
            <w:pPr>
              <w:spacing w:line="0" w:lineRule="atLeast"/>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752A2A9B" w14:textId="77777777" w:rsidR="003B41C3" w:rsidRPr="00414802" w:rsidRDefault="003B41C3" w:rsidP="003B41C3">
            <w:pPr>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tcPr>
          <w:p w14:paraId="6DB16B33" w14:textId="77777777" w:rsidR="003B41C3" w:rsidRPr="00414802" w:rsidRDefault="003B41C3" w:rsidP="003B41C3">
            <w:pPr>
              <w:spacing w:line="0" w:lineRule="atLeast"/>
              <w:rPr>
                <w:sz w:val="18"/>
                <w:szCs w:val="18"/>
              </w:rPr>
            </w:pPr>
            <w:r w:rsidRPr="00414802">
              <w:rPr>
                <w:sz w:val="18"/>
                <w:szCs w:val="18"/>
              </w:rPr>
              <w:t>$1.047.059.244.896</w:t>
            </w:r>
          </w:p>
          <w:p w14:paraId="4A6A7D23" w14:textId="77777777" w:rsidR="003B41C3" w:rsidRPr="00414802" w:rsidRDefault="003B41C3" w:rsidP="003B41C3">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24F7A0F" w14:textId="77777777" w:rsidR="003B41C3" w:rsidRPr="00414802" w:rsidRDefault="003B41C3" w:rsidP="003B41C3">
            <w:pPr>
              <w:spacing w:line="0" w:lineRule="atLeast"/>
              <w:jc w:val="center"/>
              <w:rPr>
                <w:sz w:val="18"/>
                <w:szCs w:val="18"/>
              </w:rPr>
            </w:pPr>
            <w:r w:rsidRPr="00414802">
              <w:rPr>
                <w:sz w:val="18"/>
                <w:szCs w:val="18"/>
              </w:rPr>
              <w:t>Baja</w:t>
            </w:r>
          </w:p>
        </w:tc>
      </w:tr>
      <w:tr w:rsidR="003B41C3" w:rsidRPr="007C3F70" w14:paraId="4C45780D"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457BE74" w14:textId="77777777" w:rsidR="003B41C3" w:rsidRPr="00414802" w:rsidRDefault="003B41C3" w:rsidP="003B41C3">
            <w:pPr>
              <w:rPr>
                <w:b/>
                <w:sz w:val="18"/>
                <w:szCs w:val="18"/>
              </w:rPr>
            </w:pPr>
            <w:r w:rsidRPr="00414802">
              <w:rPr>
                <w:b/>
                <w:sz w:val="18"/>
                <w:szCs w:val="18"/>
              </w:rPr>
              <w:t>24</w:t>
            </w:r>
          </w:p>
        </w:tc>
        <w:tc>
          <w:tcPr>
            <w:tcW w:w="1700" w:type="dxa"/>
            <w:tcBorders>
              <w:top w:val="single" w:sz="4" w:space="0" w:color="auto"/>
              <w:left w:val="single" w:sz="4" w:space="0" w:color="auto"/>
              <w:bottom w:val="single" w:sz="4" w:space="0" w:color="auto"/>
              <w:right w:val="single" w:sz="4" w:space="0" w:color="auto"/>
            </w:tcBorders>
            <w:hideMark/>
          </w:tcPr>
          <w:p w14:paraId="55321EEA" w14:textId="77777777" w:rsidR="003B41C3" w:rsidRPr="00414802" w:rsidRDefault="003B41C3" w:rsidP="003B41C3">
            <w:pPr>
              <w:spacing w:line="0" w:lineRule="atLeast"/>
              <w:jc w:val="both"/>
              <w:rPr>
                <w:sz w:val="18"/>
                <w:szCs w:val="18"/>
              </w:rPr>
            </w:pPr>
            <w:r w:rsidRPr="00414802">
              <w:rPr>
                <w:sz w:val="18"/>
                <w:szCs w:val="18"/>
              </w:rPr>
              <w:t xml:space="preserve">Acción Nulidad Restablecimiento Derecho </w:t>
            </w:r>
          </w:p>
        </w:tc>
        <w:tc>
          <w:tcPr>
            <w:tcW w:w="3376" w:type="dxa"/>
            <w:tcBorders>
              <w:top w:val="single" w:sz="4" w:space="0" w:color="auto"/>
              <w:left w:val="single" w:sz="4" w:space="0" w:color="auto"/>
              <w:bottom w:val="single" w:sz="4" w:space="0" w:color="auto"/>
              <w:right w:val="single" w:sz="4" w:space="0" w:color="auto"/>
            </w:tcBorders>
            <w:hideMark/>
          </w:tcPr>
          <w:p w14:paraId="7ED8C860" w14:textId="77777777" w:rsidR="003B41C3" w:rsidRPr="00414802" w:rsidRDefault="003B41C3" w:rsidP="003B41C3">
            <w:pPr>
              <w:rPr>
                <w:sz w:val="18"/>
                <w:szCs w:val="18"/>
              </w:rPr>
            </w:pPr>
            <w:r w:rsidRPr="00414802">
              <w:rPr>
                <w:sz w:val="18"/>
                <w:szCs w:val="18"/>
              </w:rPr>
              <w:t>ANLA</w:t>
            </w:r>
          </w:p>
        </w:tc>
        <w:tc>
          <w:tcPr>
            <w:tcW w:w="1984" w:type="dxa"/>
            <w:tcBorders>
              <w:top w:val="single" w:sz="4" w:space="0" w:color="auto"/>
              <w:left w:val="single" w:sz="4" w:space="0" w:color="auto"/>
              <w:bottom w:val="single" w:sz="4" w:space="0" w:color="auto"/>
              <w:right w:val="single" w:sz="4" w:space="0" w:color="auto"/>
            </w:tcBorders>
          </w:tcPr>
          <w:p w14:paraId="5D8C151E" w14:textId="77777777" w:rsidR="003B41C3" w:rsidRPr="00414802" w:rsidRDefault="003B41C3" w:rsidP="003B41C3">
            <w:pPr>
              <w:spacing w:line="0" w:lineRule="atLeast"/>
              <w:jc w:val="both"/>
              <w:rPr>
                <w:sz w:val="18"/>
                <w:szCs w:val="18"/>
              </w:rPr>
            </w:pPr>
            <w:r w:rsidRPr="00414802">
              <w:rPr>
                <w:sz w:val="18"/>
                <w:szCs w:val="18"/>
              </w:rPr>
              <w:t>$855.675.782.520</w:t>
            </w:r>
          </w:p>
          <w:p w14:paraId="6212FEAE" w14:textId="77777777" w:rsidR="003B41C3" w:rsidRPr="00414802" w:rsidRDefault="003B41C3" w:rsidP="003B41C3">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DC150CD" w14:textId="77777777" w:rsidR="003B41C3" w:rsidRPr="00414802" w:rsidRDefault="003B41C3" w:rsidP="003B41C3">
            <w:pPr>
              <w:spacing w:line="0" w:lineRule="atLeast"/>
              <w:jc w:val="center"/>
              <w:rPr>
                <w:sz w:val="18"/>
                <w:szCs w:val="18"/>
              </w:rPr>
            </w:pPr>
            <w:r w:rsidRPr="00414802">
              <w:rPr>
                <w:sz w:val="18"/>
                <w:szCs w:val="18"/>
              </w:rPr>
              <w:t>Media</w:t>
            </w:r>
          </w:p>
        </w:tc>
      </w:tr>
      <w:tr w:rsidR="003B41C3" w:rsidRPr="007C3F70" w14:paraId="207A9F3B" w14:textId="77777777" w:rsidTr="003B41C3">
        <w:tc>
          <w:tcPr>
            <w:tcW w:w="453" w:type="dxa"/>
            <w:tcBorders>
              <w:top w:val="single" w:sz="4" w:space="0" w:color="auto"/>
              <w:left w:val="single" w:sz="4" w:space="0" w:color="auto"/>
              <w:bottom w:val="single" w:sz="4" w:space="0" w:color="auto"/>
              <w:right w:val="single" w:sz="4" w:space="0" w:color="auto"/>
            </w:tcBorders>
            <w:hideMark/>
          </w:tcPr>
          <w:p w14:paraId="201B71AD" w14:textId="77777777" w:rsidR="003B41C3" w:rsidRPr="00414802" w:rsidRDefault="003B41C3" w:rsidP="003B41C3">
            <w:pPr>
              <w:rPr>
                <w:b/>
                <w:sz w:val="18"/>
                <w:szCs w:val="18"/>
              </w:rPr>
            </w:pPr>
            <w:r w:rsidRPr="00414802">
              <w:rPr>
                <w:b/>
                <w:sz w:val="18"/>
                <w:szCs w:val="18"/>
              </w:rPr>
              <w:t>25</w:t>
            </w:r>
          </w:p>
        </w:tc>
        <w:tc>
          <w:tcPr>
            <w:tcW w:w="1700" w:type="dxa"/>
            <w:tcBorders>
              <w:top w:val="single" w:sz="4" w:space="0" w:color="auto"/>
              <w:left w:val="single" w:sz="4" w:space="0" w:color="auto"/>
              <w:bottom w:val="single" w:sz="4" w:space="0" w:color="auto"/>
              <w:right w:val="single" w:sz="4" w:space="0" w:color="auto"/>
            </w:tcBorders>
          </w:tcPr>
          <w:p w14:paraId="57E4C35A" w14:textId="77777777" w:rsidR="003B41C3" w:rsidRPr="00414802" w:rsidRDefault="003B41C3" w:rsidP="003B41C3">
            <w:pPr>
              <w:spacing w:line="0" w:lineRule="atLeast"/>
              <w:rPr>
                <w:sz w:val="18"/>
                <w:szCs w:val="18"/>
              </w:rPr>
            </w:pPr>
            <w:r w:rsidRPr="00414802">
              <w:rPr>
                <w:sz w:val="18"/>
                <w:szCs w:val="18"/>
              </w:rPr>
              <w:t xml:space="preserve">Acción de Grupo </w:t>
            </w:r>
          </w:p>
          <w:p w14:paraId="7E2734CD" w14:textId="77777777" w:rsidR="003B41C3" w:rsidRPr="00414802" w:rsidRDefault="003B41C3" w:rsidP="003B41C3">
            <w:pPr>
              <w:rPr>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412185E6" w14:textId="77777777" w:rsidR="003B41C3" w:rsidRPr="00414802" w:rsidRDefault="003B41C3" w:rsidP="003B41C3">
            <w:pPr>
              <w:rPr>
                <w:sz w:val="18"/>
                <w:szCs w:val="18"/>
              </w:rPr>
            </w:pPr>
            <w:r w:rsidRPr="00414802">
              <w:rPr>
                <w:sz w:val="18"/>
                <w:szCs w:val="18"/>
              </w:rPr>
              <w:t>Superintendencia Financiera y Otros</w:t>
            </w:r>
          </w:p>
        </w:tc>
        <w:tc>
          <w:tcPr>
            <w:tcW w:w="1984" w:type="dxa"/>
            <w:tcBorders>
              <w:top w:val="single" w:sz="4" w:space="0" w:color="auto"/>
              <w:left w:val="single" w:sz="4" w:space="0" w:color="auto"/>
              <w:bottom w:val="single" w:sz="4" w:space="0" w:color="auto"/>
              <w:right w:val="single" w:sz="4" w:space="0" w:color="auto"/>
            </w:tcBorders>
            <w:hideMark/>
          </w:tcPr>
          <w:p w14:paraId="3E1A91E9" w14:textId="77777777" w:rsidR="003B41C3" w:rsidRPr="00414802" w:rsidRDefault="003B41C3" w:rsidP="003B41C3">
            <w:pPr>
              <w:rPr>
                <w:sz w:val="18"/>
                <w:szCs w:val="18"/>
              </w:rPr>
            </w:pPr>
            <w:r w:rsidRPr="00414802">
              <w:rPr>
                <w:sz w:val="18"/>
                <w:szCs w:val="18"/>
              </w:rPr>
              <w:t>$894.528.000.000</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C5C6AD1" w14:textId="77777777" w:rsidR="003B41C3" w:rsidRPr="00414802" w:rsidRDefault="003B41C3" w:rsidP="003B41C3">
            <w:pPr>
              <w:jc w:val="center"/>
              <w:rPr>
                <w:sz w:val="18"/>
                <w:szCs w:val="18"/>
              </w:rPr>
            </w:pPr>
            <w:r w:rsidRPr="00414802">
              <w:rPr>
                <w:sz w:val="18"/>
                <w:szCs w:val="18"/>
              </w:rPr>
              <w:t>Baja</w:t>
            </w:r>
          </w:p>
        </w:tc>
      </w:tr>
    </w:tbl>
    <w:p w14:paraId="338D5FD8" w14:textId="527C8B9C" w:rsidR="00024165" w:rsidRPr="00EE7842" w:rsidRDefault="00024165" w:rsidP="00024165">
      <w:pPr>
        <w:ind w:right="-283"/>
        <w:jc w:val="center"/>
        <w:rPr>
          <w:rFonts w:cs="Arial"/>
          <w:b/>
          <w:sz w:val="20"/>
          <w:szCs w:val="20"/>
        </w:rPr>
      </w:pPr>
      <w:r w:rsidRPr="009915EB">
        <w:rPr>
          <w:rFonts w:cs="Arial"/>
          <w:b/>
          <w:sz w:val="18"/>
          <w:szCs w:val="18"/>
        </w:rPr>
        <w:t xml:space="preserve">Fuente: Sistema Único de Gestión e </w:t>
      </w:r>
      <w:r w:rsidRPr="00284617">
        <w:rPr>
          <w:rFonts w:cs="Arial"/>
          <w:b/>
          <w:sz w:val="18"/>
          <w:szCs w:val="18"/>
        </w:rPr>
        <w:t>Información de la Actividad Litigiosa del Estado (</w:t>
      </w:r>
      <w:r>
        <w:rPr>
          <w:rFonts w:cs="Arial"/>
          <w:b/>
          <w:sz w:val="18"/>
          <w:szCs w:val="18"/>
        </w:rPr>
        <w:t xml:space="preserve">Abril de 2013). </w:t>
      </w:r>
      <w:r w:rsidR="00D12D9B">
        <w:rPr>
          <w:rFonts w:cs="Arial"/>
          <w:b/>
          <w:sz w:val="18"/>
          <w:szCs w:val="18"/>
        </w:rPr>
        <w:t xml:space="preserve"> Diagnóstico</w:t>
      </w:r>
      <w:r w:rsidRPr="00284617">
        <w:rPr>
          <w:rFonts w:cs="Arial"/>
          <w:b/>
          <w:sz w:val="18"/>
          <w:szCs w:val="18"/>
        </w:rPr>
        <w:t xml:space="preserve">: </w:t>
      </w:r>
      <w:r w:rsidR="00D12D9B">
        <w:rPr>
          <w:rFonts w:cs="Arial"/>
          <w:b/>
          <w:sz w:val="18"/>
          <w:szCs w:val="18"/>
        </w:rPr>
        <w:t>DDJ</w:t>
      </w:r>
      <w:r w:rsidRPr="0060006B">
        <w:rPr>
          <w:rFonts w:cs="Arial"/>
          <w:b/>
          <w:sz w:val="18"/>
          <w:szCs w:val="18"/>
        </w:rPr>
        <w:t>-ANDJE</w:t>
      </w:r>
    </w:p>
    <w:p w14:paraId="1B3B62F7" w14:textId="77777777" w:rsidR="003B41C3" w:rsidRDefault="003B41C3" w:rsidP="003B41C3">
      <w:pPr>
        <w:ind w:right="-7"/>
        <w:rPr>
          <w:b/>
          <w:bCs/>
          <w:lang w:val="es-CO"/>
        </w:rPr>
      </w:pPr>
    </w:p>
    <w:p w14:paraId="505070FA" w14:textId="77777777" w:rsidR="003B41C3" w:rsidRPr="005927DD" w:rsidRDefault="003B41C3" w:rsidP="003B41C3">
      <w:pPr>
        <w:ind w:right="-283"/>
        <w:jc w:val="both"/>
        <w:rPr>
          <w:bCs/>
          <w:lang w:val="es-CO"/>
        </w:rPr>
      </w:pPr>
      <w:r w:rsidRPr="005927DD">
        <w:rPr>
          <w:b/>
          <w:bCs/>
          <w:lang w:val="es-CO"/>
        </w:rPr>
        <w:t>4.2 Gestiones de la Dirección de Defensa Jurídica en los procesos de más de 20.000 millones</w:t>
      </w:r>
      <w:r>
        <w:rPr>
          <w:b/>
          <w:bCs/>
          <w:lang w:val="es-CO"/>
        </w:rPr>
        <w:t>.</w:t>
      </w:r>
    </w:p>
    <w:p w14:paraId="390AF918" w14:textId="77777777" w:rsidR="003B41C3" w:rsidRPr="005927DD" w:rsidRDefault="003B41C3" w:rsidP="003B41C3">
      <w:pPr>
        <w:ind w:right="-283"/>
        <w:jc w:val="both"/>
        <w:rPr>
          <w:bCs/>
          <w:lang w:val="es-CO"/>
        </w:rPr>
      </w:pPr>
      <w:r w:rsidRPr="005927DD">
        <w:rPr>
          <w:bCs/>
          <w:lang w:val="es-CO"/>
        </w:rPr>
        <w:lastRenderedPageBreak/>
        <w:t xml:space="preserve">En virtud de la directriz emitida por el Consejo Directivo de la Agencia en el Acuerdo </w:t>
      </w:r>
      <w:r>
        <w:rPr>
          <w:bCs/>
          <w:lang w:val="es-CO"/>
        </w:rPr>
        <w:t>0</w:t>
      </w:r>
      <w:r w:rsidRPr="005927DD">
        <w:rPr>
          <w:bCs/>
          <w:lang w:val="es-CO"/>
        </w:rPr>
        <w:t>6 de 2012, para que la Dirección de Defensa Jurídica revisara los procesos activos a la fecha de expedición del referido Acuerdo, registrados en el Sistema LITIGOB FASE II y que tuvieran una cuantía superior a $20.000 millones, se han realizado las siguientes gestiones:</w:t>
      </w:r>
    </w:p>
    <w:p w14:paraId="7502D220" w14:textId="77777777" w:rsidR="003B41C3" w:rsidRPr="00E46994" w:rsidRDefault="003B41C3" w:rsidP="003B41C3">
      <w:pPr>
        <w:pStyle w:val="Prrafodelista"/>
        <w:numPr>
          <w:ilvl w:val="2"/>
          <w:numId w:val="64"/>
        </w:numPr>
        <w:ind w:right="-283"/>
        <w:jc w:val="both"/>
        <w:rPr>
          <w:bCs/>
          <w:lang w:val="es-CO"/>
        </w:rPr>
      </w:pPr>
      <w:r w:rsidRPr="00E46994">
        <w:rPr>
          <w:b/>
          <w:bCs/>
          <w:lang w:val="es-CO"/>
        </w:rPr>
        <w:t>Intervención Procesal</w:t>
      </w:r>
      <w:r w:rsidRPr="00E46994">
        <w:rPr>
          <w:bCs/>
          <w:lang w:val="es-CO"/>
        </w:rPr>
        <w:t xml:space="preserve">: </w:t>
      </w:r>
    </w:p>
    <w:p w14:paraId="08440F9D" w14:textId="77777777" w:rsidR="003B41C3" w:rsidRPr="005927DD" w:rsidRDefault="003B41C3" w:rsidP="003B41C3">
      <w:pPr>
        <w:ind w:right="-283"/>
        <w:jc w:val="both"/>
        <w:rPr>
          <w:bCs/>
          <w:color w:val="FF0000"/>
          <w:lang w:val="es-CO"/>
        </w:rPr>
      </w:pPr>
      <w:r w:rsidRPr="005927DD">
        <w:rPr>
          <w:bCs/>
          <w:lang w:val="es-CO"/>
        </w:rPr>
        <w:t>En 63 pleitos, cuyas pretensiones suman $7.4 billones. Las intervenciones realizadas fueron en 53 procesos, 8 Acciones de Tutela y 3 Arbitramentos</w:t>
      </w:r>
      <w:r w:rsidRPr="00D6567E">
        <w:rPr>
          <w:b/>
          <w:bCs/>
          <w:lang w:val="es-CO"/>
        </w:rPr>
        <w:t>. (Ver Anexo</w:t>
      </w:r>
      <w:r>
        <w:rPr>
          <w:b/>
          <w:bCs/>
          <w:lang w:val="es-CO"/>
        </w:rPr>
        <w:t>s</w:t>
      </w:r>
      <w:r w:rsidRPr="00D6567E">
        <w:rPr>
          <w:b/>
          <w:bCs/>
          <w:lang w:val="es-CO"/>
        </w:rPr>
        <w:t xml:space="preserve"> 3.1, 3.2, y 33)</w:t>
      </w:r>
      <w:r w:rsidRPr="00D6567E">
        <w:rPr>
          <w:bCs/>
          <w:lang w:val="es-CO"/>
        </w:rPr>
        <w:t xml:space="preserve"> </w:t>
      </w:r>
    </w:p>
    <w:p w14:paraId="3617A26C" w14:textId="77777777" w:rsidR="003B41C3" w:rsidRPr="00E46994" w:rsidRDefault="003B41C3" w:rsidP="003B41C3">
      <w:pPr>
        <w:ind w:right="-283"/>
        <w:jc w:val="both"/>
        <w:rPr>
          <w:bCs/>
          <w:lang w:val="es-CO"/>
        </w:rPr>
      </w:pPr>
      <w:r>
        <w:rPr>
          <w:b/>
          <w:bCs/>
          <w:lang w:val="es-CO"/>
        </w:rPr>
        <w:t>4.2.2</w:t>
      </w:r>
      <w:r>
        <w:rPr>
          <w:b/>
          <w:bCs/>
          <w:lang w:val="es-CO"/>
        </w:rPr>
        <w:tab/>
      </w:r>
      <w:r w:rsidRPr="00E46994">
        <w:rPr>
          <w:b/>
          <w:bCs/>
          <w:lang w:val="es-CO"/>
        </w:rPr>
        <w:t>Coordinación de la Defensa:</w:t>
      </w:r>
      <w:r w:rsidRPr="00E46994">
        <w:rPr>
          <w:bCs/>
          <w:lang w:val="es-CO"/>
        </w:rPr>
        <w:t xml:space="preserve"> </w:t>
      </w:r>
    </w:p>
    <w:p w14:paraId="43BEDF67" w14:textId="77777777" w:rsidR="003B41C3" w:rsidRPr="005927DD" w:rsidRDefault="003B41C3" w:rsidP="003B41C3">
      <w:pPr>
        <w:ind w:right="-283"/>
        <w:jc w:val="both"/>
        <w:rPr>
          <w:bCs/>
          <w:lang w:val="es-CO"/>
        </w:rPr>
      </w:pPr>
      <w:r w:rsidRPr="005927DD">
        <w:rPr>
          <w:bCs/>
          <w:lang w:val="es-CO"/>
        </w:rPr>
        <w:t>En 179 pleitos, cuyas pretensione</w:t>
      </w:r>
      <w:r>
        <w:rPr>
          <w:bCs/>
          <w:lang w:val="es-CO"/>
        </w:rPr>
        <w:t xml:space="preserve">s suman $29.6 billones </w:t>
      </w:r>
      <w:r w:rsidRPr="00CA266B">
        <w:rPr>
          <w:b/>
          <w:bCs/>
          <w:lang w:val="es-CO"/>
        </w:rPr>
        <w:t xml:space="preserve">(Ver Anexos 4.1 y 4.2).  </w:t>
      </w:r>
      <w:r w:rsidRPr="005927DD">
        <w:rPr>
          <w:bCs/>
          <w:lang w:val="es-CO"/>
        </w:rPr>
        <w:t>Esta coordinación se realizó con el propósito de analizar con las respectivas entidades demandadas la estrategia judicial empleada para la defensa de los intereses litigiosos de la Nación, la probabilidad de éxito y la fortaleza y debilidades de las pretensiones y excepciones, así como los medios de prueba en que se fundamentan.</w:t>
      </w:r>
    </w:p>
    <w:p w14:paraId="0C8D47EA" w14:textId="77777777" w:rsidR="003B41C3" w:rsidRPr="00AF11BE" w:rsidRDefault="003B41C3" w:rsidP="003B41C3">
      <w:pPr>
        <w:pStyle w:val="Prrafodelista"/>
        <w:numPr>
          <w:ilvl w:val="1"/>
          <w:numId w:val="66"/>
        </w:numPr>
        <w:ind w:right="-283"/>
        <w:jc w:val="both"/>
        <w:rPr>
          <w:bCs/>
          <w:lang w:val="es-CO"/>
        </w:rPr>
      </w:pPr>
      <w:r w:rsidRPr="00AF11BE">
        <w:rPr>
          <w:b/>
          <w:bCs/>
          <w:lang w:val="es-CO"/>
        </w:rPr>
        <w:t>Promoción de MASC:</w:t>
      </w:r>
      <w:r w:rsidRPr="00AF11BE">
        <w:rPr>
          <w:bCs/>
          <w:lang w:val="es-CO"/>
        </w:rPr>
        <w:t xml:space="preserve"> </w:t>
      </w:r>
    </w:p>
    <w:p w14:paraId="230C9927" w14:textId="77777777" w:rsidR="003B41C3" w:rsidRPr="000B4FFC" w:rsidRDefault="003B41C3" w:rsidP="003B41C3">
      <w:pPr>
        <w:ind w:right="-283"/>
        <w:jc w:val="both"/>
        <w:rPr>
          <w:b/>
          <w:bCs/>
          <w:color w:val="FF0000"/>
          <w:lang w:val="es-CO"/>
        </w:rPr>
      </w:pPr>
      <w:r>
        <w:rPr>
          <w:bCs/>
          <w:lang w:val="es-CO"/>
        </w:rPr>
        <w:t>La Agencia c</w:t>
      </w:r>
      <w:r w:rsidRPr="005927DD">
        <w:rPr>
          <w:bCs/>
          <w:lang w:val="es-CO"/>
        </w:rPr>
        <w:t xml:space="preserve">oordina conciliaciones prejudiciales y extrajudiciales por valor de 2.8 Billones y Gestiones de Mediación en conflictos por valor de 314 mil millones. </w:t>
      </w:r>
      <w:r w:rsidRPr="000B4FFC">
        <w:rPr>
          <w:b/>
          <w:bCs/>
          <w:lang w:val="es-CO"/>
        </w:rPr>
        <w:t>(Ver Anexos 5.1. y 5.2)</w:t>
      </w:r>
    </w:p>
    <w:p w14:paraId="355C2909" w14:textId="77777777" w:rsidR="003B41C3" w:rsidRPr="00AF11BE" w:rsidRDefault="003B41C3" w:rsidP="003B41C3">
      <w:pPr>
        <w:pStyle w:val="Prrafodelista"/>
        <w:numPr>
          <w:ilvl w:val="1"/>
          <w:numId w:val="66"/>
        </w:numPr>
        <w:ind w:right="-283"/>
        <w:jc w:val="both"/>
        <w:rPr>
          <w:bCs/>
          <w:lang w:val="es-CO"/>
        </w:rPr>
      </w:pPr>
      <w:r w:rsidRPr="00AF11BE">
        <w:rPr>
          <w:b/>
          <w:bCs/>
          <w:lang w:val="es-CO"/>
        </w:rPr>
        <w:t>Protocolos de Defensa:</w:t>
      </w:r>
      <w:r w:rsidRPr="00AF11BE">
        <w:rPr>
          <w:bCs/>
          <w:lang w:val="es-CO"/>
        </w:rPr>
        <w:t xml:space="preserve"> </w:t>
      </w:r>
    </w:p>
    <w:p w14:paraId="2B9F1D21" w14:textId="77777777" w:rsidR="003B41C3" w:rsidRPr="005927DD" w:rsidRDefault="003B41C3" w:rsidP="003B41C3">
      <w:pPr>
        <w:ind w:right="-283"/>
        <w:jc w:val="both"/>
        <w:rPr>
          <w:bCs/>
          <w:lang w:val="es-CO"/>
        </w:rPr>
      </w:pPr>
      <w:r w:rsidRPr="005927DD">
        <w:rPr>
          <w:bCs/>
          <w:lang w:val="es-CO"/>
        </w:rPr>
        <w:t>De igual manera, la ANDJE ha elaborado protocolos de defensa que promuev</w:t>
      </w:r>
      <w:r>
        <w:rPr>
          <w:bCs/>
          <w:lang w:val="es-CO"/>
        </w:rPr>
        <w:t>e</w:t>
      </w:r>
      <w:r w:rsidRPr="005927DD">
        <w:rPr>
          <w:bCs/>
          <w:lang w:val="es-CO"/>
        </w:rPr>
        <w:t xml:space="preserve">n la conciliación en procesos originados en temáticas como: </w:t>
      </w:r>
      <w:r>
        <w:rPr>
          <w:bCs/>
          <w:lang w:val="es-CO"/>
        </w:rPr>
        <w:t>(Tabla 9)</w:t>
      </w:r>
    </w:p>
    <w:p w14:paraId="122D532F" w14:textId="77777777" w:rsidR="003B41C3" w:rsidRPr="00E46994" w:rsidRDefault="003B41C3" w:rsidP="003B41C3">
      <w:pPr>
        <w:ind w:right="-7"/>
        <w:jc w:val="center"/>
        <w:rPr>
          <w:b/>
          <w:bCs/>
          <w:sz w:val="18"/>
          <w:szCs w:val="18"/>
          <w:lang w:val="es-CO"/>
        </w:rPr>
      </w:pPr>
      <w:r>
        <w:rPr>
          <w:b/>
          <w:bCs/>
          <w:sz w:val="18"/>
          <w:szCs w:val="18"/>
          <w:lang w:val="es-CO"/>
        </w:rPr>
        <w:t>Tabla 9</w:t>
      </w:r>
    </w:p>
    <w:tbl>
      <w:tblPr>
        <w:tblStyle w:val="Tablaconcuadrcula"/>
        <w:tblW w:w="8505" w:type="dxa"/>
        <w:tblInd w:w="562" w:type="dxa"/>
        <w:tblLook w:val="04A0" w:firstRow="1" w:lastRow="0" w:firstColumn="1" w:lastColumn="0" w:noHBand="0" w:noVBand="1"/>
      </w:tblPr>
      <w:tblGrid>
        <w:gridCol w:w="3119"/>
        <w:gridCol w:w="5386"/>
      </w:tblGrid>
      <w:tr w:rsidR="003B41C3" w14:paraId="07283988" w14:textId="77777777" w:rsidTr="003B41C3">
        <w:tc>
          <w:tcPr>
            <w:tcW w:w="3119" w:type="dxa"/>
            <w:shd w:val="clear" w:color="auto" w:fill="8DB3E2" w:themeFill="text2" w:themeFillTint="66"/>
          </w:tcPr>
          <w:p w14:paraId="6FDCDD88" w14:textId="77777777" w:rsidR="003B41C3" w:rsidRPr="00565D08" w:rsidRDefault="003B41C3" w:rsidP="003B41C3">
            <w:pPr>
              <w:ind w:right="-7"/>
              <w:jc w:val="center"/>
              <w:rPr>
                <w:b/>
                <w:bCs/>
                <w:sz w:val="18"/>
                <w:szCs w:val="18"/>
                <w:lang w:val="es-CO"/>
              </w:rPr>
            </w:pPr>
            <w:r w:rsidRPr="00565D08">
              <w:rPr>
                <w:b/>
                <w:bCs/>
                <w:sz w:val="18"/>
                <w:szCs w:val="18"/>
                <w:lang w:val="es-CO"/>
              </w:rPr>
              <w:t>TEMÁTICA</w:t>
            </w:r>
          </w:p>
        </w:tc>
        <w:tc>
          <w:tcPr>
            <w:tcW w:w="5386" w:type="dxa"/>
            <w:shd w:val="clear" w:color="auto" w:fill="8DB3E2" w:themeFill="text2" w:themeFillTint="66"/>
          </w:tcPr>
          <w:p w14:paraId="072B91BC" w14:textId="77777777" w:rsidR="003B41C3" w:rsidRPr="00565D08" w:rsidRDefault="003B41C3" w:rsidP="003B41C3">
            <w:pPr>
              <w:ind w:right="-7"/>
              <w:jc w:val="center"/>
              <w:rPr>
                <w:b/>
                <w:bCs/>
                <w:sz w:val="18"/>
                <w:szCs w:val="18"/>
                <w:lang w:val="es-CO"/>
              </w:rPr>
            </w:pPr>
            <w:r w:rsidRPr="00565D08">
              <w:rPr>
                <w:b/>
                <w:bCs/>
                <w:sz w:val="18"/>
                <w:szCs w:val="18"/>
                <w:lang w:val="es-CO"/>
              </w:rPr>
              <w:t>NO. DE PLEITOS Y PRETENSIONES</w:t>
            </w:r>
          </w:p>
          <w:p w14:paraId="2D829F5B" w14:textId="77777777" w:rsidR="003B41C3" w:rsidRPr="00565D08" w:rsidRDefault="003B41C3" w:rsidP="003B41C3">
            <w:pPr>
              <w:ind w:right="-7"/>
              <w:jc w:val="center"/>
              <w:rPr>
                <w:b/>
                <w:bCs/>
                <w:sz w:val="18"/>
                <w:szCs w:val="18"/>
                <w:lang w:val="es-CO"/>
              </w:rPr>
            </w:pPr>
          </w:p>
        </w:tc>
      </w:tr>
      <w:tr w:rsidR="003B41C3" w14:paraId="56EBCDE3" w14:textId="77777777" w:rsidTr="003B41C3">
        <w:tc>
          <w:tcPr>
            <w:tcW w:w="3119" w:type="dxa"/>
          </w:tcPr>
          <w:p w14:paraId="2D33D738" w14:textId="77777777" w:rsidR="003B41C3" w:rsidRPr="00565D08" w:rsidRDefault="003B41C3" w:rsidP="003B41C3">
            <w:pPr>
              <w:ind w:right="-7"/>
              <w:jc w:val="both"/>
              <w:rPr>
                <w:bCs/>
                <w:sz w:val="18"/>
                <w:szCs w:val="18"/>
                <w:lang w:val="es-CO"/>
              </w:rPr>
            </w:pPr>
            <w:r w:rsidRPr="00565D08">
              <w:rPr>
                <w:bCs/>
                <w:sz w:val="18"/>
                <w:szCs w:val="18"/>
                <w:lang w:val="es-CO"/>
              </w:rPr>
              <w:t>Privación Injusta de la Libertad</w:t>
            </w:r>
          </w:p>
          <w:p w14:paraId="38D45DC1" w14:textId="77777777" w:rsidR="003B41C3" w:rsidRPr="00565D08" w:rsidRDefault="003B41C3" w:rsidP="003B41C3">
            <w:pPr>
              <w:ind w:right="-7"/>
              <w:jc w:val="both"/>
              <w:rPr>
                <w:bCs/>
                <w:sz w:val="18"/>
                <w:szCs w:val="18"/>
                <w:lang w:val="es-CO"/>
              </w:rPr>
            </w:pPr>
          </w:p>
        </w:tc>
        <w:tc>
          <w:tcPr>
            <w:tcW w:w="5386" w:type="dxa"/>
          </w:tcPr>
          <w:p w14:paraId="461D89DB" w14:textId="77777777" w:rsidR="003B41C3" w:rsidRPr="00565D08" w:rsidRDefault="003B41C3" w:rsidP="003B41C3">
            <w:pPr>
              <w:ind w:left="720" w:right="-7"/>
              <w:jc w:val="both"/>
              <w:rPr>
                <w:bCs/>
                <w:sz w:val="18"/>
                <w:szCs w:val="18"/>
                <w:lang w:val="es-CO"/>
              </w:rPr>
            </w:pPr>
            <w:r w:rsidRPr="00565D08">
              <w:rPr>
                <w:bCs/>
                <w:sz w:val="18"/>
                <w:szCs w:val="18"/>
                <w:lang w:val="es-CO"/>
              </w:rPr>
              <w:t xml:space="preserve">Número de Pleitos: 13.385 </w:t>
            </w:r>
          </w:p>
          <w:p w14:paraId="763E811B" w14:textId="77777777" w:rsidR="003B41C3" w:rsidRPr="00565D08" w:rsidRDefault="003B41C3" w:rsidP="003B41C3">
            <w:pPr>
              <w:ind w:left="720" w:right="-7"/>
              <w:jc w:val="both"/>
              <w:rPr>
                <w:bCs/>
                <w:sz w:val="18"/>
                <w:szCs w:val="18"/>
                <w:lang w:val="es-CO"/>
              </w:rPr>
            </w:pPr>
            <w:r w:rsidRPr="00565D08">
              <w:rPr>
                <w:bCs/>
                <w:sz w:val="18"/>
                <w:szCs w:val="18"/>
                <w:lang w:val="es-CO"/>
              </w:rPr>
              <w:t xml:space="preserve">$21.055.833.145.972 </w:t>
            </w:r>
          </w:p>
        </w:tc>
      </w:tr>
      <w:tr w:rsidR="003B41C3" w14:paraId="5DF11C05" w14:textId="77777777" w:rsidTr="003B41C3">
        <w:tc>
          <w:tcPr>
            <w:tcW w:w="3119" w:type="dxa"/>
          </w:tcPr>
          <w:p w14:paraId="2F4658A7" w14:textId="77777777" w:rsidR="003B41C3" w:rsidRPr="00565D08" w:rsidRDefault="003B41C3" w:rsidP="003B41C3">
            <w:pPr>
              <w:ind w:right="-7"/>
              <w:jc w:val="both"/>
              <w:rPr>
                <w:bCs/>
                <w:sz w:val="18"/>
                <w:szCs w:val="18"/>
                <w:lang w:val="es-CO"/>
              </w:rPr>
            </w:pPr>
            <w:r w:rsidRPr="00565D08">
              <w:rPr>
                <w:bCs/>
                <w:sz w:val="18"/>
                <w:szCs w:val="18"/>
                <w:lang w:val="es-CO"/>
              </w:rPr>
              <w:t>Daño con vehículo oficial</w:t>
            </w:r>
          </w:p>
          <w:p w14:paraId="38C3DAAE" w14:textId="77777777" w:rsidR="003B41C3" w:rsidRPr="00565D08" w:rsidRDefault="003B41C3" w:rsidP="003B41C3">
            <w:pPr>
              <w:ind w:right="-7"/>
              <w:jc w:val="both"/>
              <w:rPr>
                <w:bCs/>
                <w:sz w:val="18"/>
                <w:szCs w:val="18"/>
                <w:lang w:val="es-CO"/>
              </w:rPr>
            </w:pPr>
          </w:p>
        </w:tc>
        <w:tc>
          <w:tcPr>
            <w:tcW w:w="5386" w:type="dxa"/>
          </w:tcPr>
          <w:p w14:paraId="4CA92126" w14:textId="77777777" w:rsidR="003B41C3" w:rsidRPr="00565D08" w:rsidRDefault="003B41C3" w:rsidP="003B41C3">
            <w:pPr>
              <w:ind w:left="720" w:right="-7"/>
              <w:jc w:val="both"/>
              <w:rPr>
                <w:bCs/>
                <w:sz w:val="18"/>
                <w:szCs w:val="18"/>
                <w:lang w:val="es-CO"/>
              </w:rPr>
            </w:pPr>
            <w:r w:rsidRPr="00565D08">
              <w:rPr>
                <w:bCs/>
                <w:sz w:val="18"/>
                <w:szCs w:val="18"/>
                <w:lang w:val="es-CO"/>
              </w:rPr>
              <w:t xml:space="preserve">Número de Pleitos: 659 </w:t>
            </w:r>
          </w:p>
          <w:p w14:paraId="0F6983C7" w14:textId="77777777" w:rsidR="003B41C3" w:rsidRPr="00565D08" w:rsidRDefault="003B41C3" w:rsidP="003B41C3">
            <w:pPr>
              <w:ind w:left="720" w:right="-7"/>
              <w:jc w:val="both"/>
              <w:rPr>
                <w:bCs/>
                <w:sz w:val="18"/>
                <w:szCs w:val="18"/>
                <w:lang w:val="es-CO"/>
              </w:rPr>
            </w:pPr>
            <w:r w:rsidRPr="00565D08">
              <w:rPr>
                <w:bCs/>
                <w:sz w:val="18"/>
                <w:szCs w:val="18"/>
                <w:lang w:val="es-CO"/>
              </w:rPr>
              <w:t>$431.870.616.657</w:t>
            </w:r>
          </w:p>
        </w:tc>
      </w:tr>
      <w:tr w:rsidR="003B41C3" w14:paraId="259BA652" w14:textId="77777777" w:rsidTr="003B41C3">
        <w:tc>
          <w:tcPr>
            <w:tcW w:w="3119" w:type="dxa"/>
          </w:tcPr>
          <w:p w14:paraId="05CCC489" w14:textId="77777777" w:rsidR="003B41C3" w:rsidRPr="00565D08" w:rsidRDefault="003B41C3" w:rsidP="003B41C3">
            <w:pPr>
              <w:ind w:right="-7"/>
              <w:jc w:val="both"/>
              <w:rPr>
                <w:bCs/>
                <w:sz w:val="18"/>
                <w:szCs w:val="18"/>
                <w:lang w:val="es-CO"/>
              </w:rPr>
            </w:pPr>
            <w:r w:rsidRPr="00565D08">
              <w:rPr>
                <w:bCs/>
                <w:sz w:val="18"/>
                <w:szCs w:val="18"/>
                <w:lang w:val="es-CO"/>
              </w:rPr>
              <w:t>Daño con arma de dotación</w:t>
            </w:r>
          </w:p>
          <w:p w14:paraId="1B9C71A5" w14:textId="77777777" w:rsidR="003B41C3" w:rsidRPr="00565D08" w:rsidRDefault="003B41C3" w:rsidP="003B41C3">
            <w:pPr>
              <w:ind w:right="-7"/>
              <w:jc w:val="both"/>
              <w:rPr>
                <w:bCs/>
                <w:sz w:val="18"/>
                <w:szCs w:val="18"/>
                <w:lang w:val="es-CO"/>
              </w:rPr>
            </w:pPr>
          </w:p>
        </w:tc>
        <w:tc>
          <w:tcPr>
            <w:tcW w:w="5386" w:type="dxa"/>
          </w:tcPr>
          <w:p w14:paraId="5BC0916B" w14:textId="77777777" w:rsidR="003B41C3" w:rsidRPr="00565D08" w:rsidRDefault="003B41C3" w:rsidP="003B41C3">
            <w:pPr>
              <w:ind w:left="720" w:right="-7"/>
              <w:jc w:val="both"/>
              <w:rPr>
                <w:bCs/>
                <w:sz w:val="18"/>
                <w:szCs w:val="18"/>
                <w:lang w:val="es-CO"/>
              </w:rPr>
            </w:pPr>
            <w:r w:rsidRPr="00565D08">
              <w:rPr>
                <w:bCs/>
                <w:sz w:val="18"/>
                <w:szCs w:val="18"/>
                <w:lang w:val="es-CO"/>
              </w:rPr>
              <w:t xml:space="preserve">Número de Pleitos: 3.906  </w:t>
            </w:r>
          </w:p>
          <w:p w14:paraId="0597A4D8" w14:textId="77777777" w:rsidR="003B41C3" w:rsidRPr="00565D08" w:rsidRDefault="003B41C3" w:rsidP="003B41C3">
            <w:pPr>
              <w:ind w:left="720" w:right="-7"/>
              <w:jc w:val="both"/>
              <w:rPr>
                <w:bCs/>
                <w:sz w:val="18"/>
                <w:szCs w:val="18"/>
                <w:lang w:val="es-CO"/>
              </w:rPr>
            </w:pPr>
            <w:r w:rsidRPr="00565D08">
              <w:rPr>
                <w:bCs/>
                <w:sz w:val="18"/>
                <w:szCs w:val="18"/>
                <w:lang w:val="es-CO"/>
              </w:rPr>
              <w:t xml:space="preserve">$3.069.679.961.032 </w:t>
            </w:r>
          </w:p>
        </w:tc>
      </w:tr>
      <w:tr w:rsidR="003B41C3" w14:paraId="22D07C73" w14:textId="77777777" w:rsidTr="003B41C3">
        <w:tc>
          <w:tcPr>
            <w:tcW w:w="3119" w:type="dxa"/>
          </w:tcPr>
          <w:p w14:paraId="5F4865F0" w14:textId="77777777" w:rsidR="003B41C3" w:rsidRPr="00565D08" w:rsidRDefault="003B41C3" w:rsidP="003B41C3">
            <w:pPr>
              <w:ind w:right="-7"/>
              <w:jc w:val="both"/>
              <w:rPr>
                <w:bCs/>
                <w:sz w:val="18"/>
                <w:szCs w:val="18"/>
                <w:lang w:val="es-CO"/>
              </w:rPr>
            </w:pPr>
            <w:r w:rsidRPr="00565D08">
              <w:rPr>
                <w:bCs/>
                <w:sz w:val="18"/>
                <w:szCs w:val="18"/>
                <w:lang w:val="es-CO"/>
              </w:rPr>
              <w:t>Daño a reclusos</w:t>
            </w:r>
          </w:p>
          <w:p w14:paraId="777B9355" w14:textId="77777777" w:rsidR="003B41C3" w:rsidRPr="00565D08" w:rsidRDefault="003B41C3" w:rsidP="003B41C3">
            <w:pPr>
              <w:ind w:right="-7"/>
              <w:jc w:val="both"/>
              <w:rPr>
                <w:bCs/>
                <w:sz w:val="18"/>
                <w:szCs w:val="18"/>
                <w:lang w:val="es-CO"/>
              </w:rPr>
            </w:pPr>
          </w:p>
        </w:tc>
        <w:tc>
          <w:tcPr>
            <w:tcW w:w="5386" w:type="dxa"/>
          </w:tcPr>
          <w:p w14:paraId="5AD01A57" w14:textId="77777777" w:rsidR="003B41C3" w:rsidRPr="00565D08" w:rsidRDefault="003B41C3" w:rsidP="003B41C3">
            <w:pPr>
              <w:ind w:left="720" w:right="-7"/>
              <w:jc w:val="both"/>
              <w:rPr>
                <w:bCs/>
                <w:sz w:val="18"/>
                <w:szCs w:val="18"/>
                <w:lang w:val="es-CO"/>
              </w:rPr>
            </w:pPr>
            <w:r w:rsidRPr="00565D08">
              <w:rPr>
                <w:bCs/>
                <w:sz w:val="18"/>
                <w:szCs w:val="18"/>
                <w:lang w:val="es-CO"/>
              </w:rPr>
              <w:t>Número de Pleitos: 819</w:t>
            </w:r>
          </w:p>
          <w:p w14:paraId="7C8F5C2F" w14:textId="77777777" w:rsidR="003B41C3" w:rsidRPr="00565D08" w:rsidRDefault="003B41C3" w:rsidP="003B41C3">
            <w:pPr>
              <w:ind w:left="720" w:right="-7"/>
              <w:jc w:val="both"/>
              <w:rPr>
                <w:bCs/>
                <w:sz w:val="18"/>
                <w:szCs w:val="18"/>
                <w:lang w:val="es-CO"/>
              </w:rPr>
            </w:pPr>
            <w:r w:rsidRPr="00565D08">
              <w:rPr>
                <w:bCs/>
                <w:sz w:val="18"/>
                <w:szCs w:val="18"/>
                <w:lang w:val="es-CO"/>
              </w:rPr>
              <w:t xml:space="preserve">$581.055.063.270 </w:t>
            </w:r>
          </w:p>
        </w:tc>
      </w:tr>
      <w:tr w:rsidR="003B41C3" w14:paraId="6A3D4D1F" w14:textId="77777777" w:rsidTr="003B41C3">
        <w:tc>
          <w:tcPr>
            <w:tcW w:w="3119" w:type="dxa"/>
          </w:tcPr>
          <w:p w14:paraId="3343078B" w14:textId="77777777" w:rsidR="003B41C3" w:rsidRPr="00565D08" w:rsidRDefault="003B41C3" w:rsidP="003B41C3">
            <w:pPr>
              <w:ind w:right="-7"/>
              <w:jc w:val="both"/>
              <w:rPr>
                <w:bCs/>
                <w:sz w:val="18"/>
                <w:szCs w:val="18"/>
                <w:lang w:val="es-CO"/>
              </w:rPr>
            </w:pPr>
            <w:r w:rsidRPr="00565D08">
              <w:rPr>
                <w:bCs/>
                <w:sz w:val="18"/>
                <w:szCs w:val="18"/>
                <w:lang w:val="es-CO"/>
              </w:rPr>
              <w:t>Enriquecimiento sin justa causa</w:t>
            </w:r>
          </w:p>
        </w:tc>
        <w:tc>
          <w:tcPr>
            <w:tcW w:w="5386" w:type="dxa"/>
          </w:tcPr>
          <w:p w14:paraId="2D852914" w14:textId="77777777" w:rsidR="003B41C3" w:rsidRPr="00565D08" w:rsidRDefault="003B41C3" w:rsidP="003B41C3">
            <w:pPr>
              <w:ind w:left="720" w:right="-7"/>
              <w:jc w:val="both"/>
              <w:rPr>
                <w:bCs/>
                <w:sz w:val="18"/>
                <w:szCs w:val="18"/>
                <w:lang w:val="es-CO"/>
              </w:rPr>
            </w:pPr>
            <w:r w:rsidRPr="00565D08">
              <w:rPr>
                <w:bCs/>
                <w:sz w:val="18"/>
                <w:szCs w:val="18"/>
                <w:lang w:val="es-CO"/>
              </w:rPr>
              <w:t xml:space="preserve">Número de Pleitos: 23 </w:t>
            </w:r>
          </w:p>
          <w:p w14:paraId="6885A5FA" w14:textId="77777777" w:rsidR="003B41C3" w:rsidRPr="00565D08" w:rsidRDefault="003B41C3" w:rsidP="003B41C3">
            <w:pPr>
              <w:ind w:left="720" w:right="-7"/>
              <w:jc w:val="both"/>
              <w:rPr>
                <w:bCs/>
                <w:sz w:val="18"/>
                <w:szCs w:val="18"/>
                <w:lang w:val="es-CO"/>
              </w:rPr>
            </w:pPr>
            <w:r w:rsidRPr="00565D08">
              <w:rPr>
                <w:bCs/>
                <w:sz w:val="18"/>
                <w:szCs w:val="18"/>
                <w:lang w:val="es-CO"/>
              </w:rPr>
              <w:t xml:space="preserve">$1.206.154.465.389 </w:t>
            </w:r>
          </w:p>
        </w:tc>
      </w:tr>
    </w:tbl>
    <w:p w14:paraId="0F04B1F2" w14:textId="137524C6" w:rsidR="00D12D9B" w:rsidRPr="00EE7842" w:rsidRDefault="00D12D9B" w:rsidP="00D12D9B">
      <w:pPr>
        <w:ind w:right="-283"/>
        <w:jc w:val="center"/>
        <w:rPr>
          <w:rFonts w:cs="Arial"/>
          <w:b/>
          <w:sz w:val="20"/>
          <w:szCs w:val="20"/>
        </w:rPr>
      </w:pPr>
      <w:r w:rsidRPr="009915EB">
        <w:rPr>
          <w:rFonts w:cs="Arial"/>
          <w:b/>
          <w:sz w:val="18"/>
          <w:szCs w:val="18"/>
        </w:rPr>
        <w:t xml:space="preserve">Fuente: Sistema Único de Gestión e </w:t>
      </w:r>
      <w:r w:rsidRPr="00284617">
        <w:rPr>
          <w:rFonts w:cs="Arial"/>
          <w:b/>
          <w:sz w:val="18"/>
          <w:szCs w:val="18"/>
        </w:rPr>
        <w:t>Información de la Activi</w:t>
      </w:r>
      <w:r>
        <w:rPr>
          <w:rFonts w:cs="Arial"/>
          <w:b/>
          <w:sz w:val="18"/>
          <w:szCs w:val="18"/>
        </w:rPr>
        <w:t>dad Litigiosa del Estado (Agosto</w:t>
      </w:r>
      <w:r w:rsidRPr="00284617">
        <w:rPr>
          <w:rFonts w:cs="Arial"/>
          <w:b/>
          <w:sz w:val="18"/>
          <w:szCs w:val="18"/>
        </w:rPr>
        <w:t xml:space="preserve"> de 2013). Cálculos: </w:t>
      </w:r>
      <w:r w:rsidRPr="0060006B">
        <w:rPr>
          <w:rFonts w:cs="Arial"/>
          <w:b/>
          <w:sz w:val="18"/>
          <w:szCs w:val="18"/>
        </w:rPr>
        <w:t>DGI-ANDJE</w:t>
      </w:r>
    </w:p>
    <w:p w14:paraId="4CC48E47" w14:textId="77777777" w:rsidR="003B41C3" w:rsidRDefault="003B41C3" w:rsidP="003B41C3">
      <w:pPr>
        <w:ind w:right="-283"/>
        <w:jc w:val="both"/>
        <w:rPr>
          <w:bCs/>
          <w:lang w:val="es-CO"/>
        </w:rPr>
      </w:pPr>
    </w:p>
    <w:p w14:paraId="2B9328D7" w14:textId="77777777" w:rsidR="003B41C3" w:rsidRPr="007F15E3" w:rsidRDefault="003B41C3" w:rsidP="003B41C3">
      <w:pPr>
        <w:pStyle w:val="Prrafodelista"/>
        <w:numPr>
          <w:ilvl w:val="1"/>
          <w:numId w:val="66"/>
        </w:numPr>
        <w:ind w:right="-283"/>
        <w:jc w:val="both"/>
        <w:rPr>
          <w:b/>
          <w:noProof/>
          <w:lang w:val="es-CO" w:eastAsia="es-CO"/>
        </w:rPr>
      </w:pPr>
      <w:r w:rsidRPr="007F15E3">
        <w:rPr>
          <w:b/>
          <w:noProof/>
          <w:lang w:val="es-CO" w:eastAsia="es-CO"/>
        </w:rPr>
        <w:t xml:space="preserve">Distribución de Procesos por </w:t>
      </w:r>
      <w:r>
        <w:rPr>
          <w:b/>
          <w:noProof/>
          <w:lang w:val="es-CO" w:eastAsia="es-CO"/>
        </w:rPr>
        <w:t>S</w:t>
      </w:r>
      <w:r w:rsidRPr="007F15E3">
        <w:rPr>
          <w:b/>
          <w:noProof/>
          <w:lang w:val="es-CO" w:eastAsia="es-CO"/>
        </w:rPr>
        <w:t xml:space="preserve">ector y </w:t>
      </w:r>
      <w:r>
        <w:rPr>
          <w:b/>
          <w:noProof/>
          <w:lang w:val="es-CO" w:eastAsia="es-CO"/>
        </w:rPr>
        <w:t>C</w:t>
      </w:r>
      <w:r w:rsidRPr="007F15E3">
        <w:rPr>
          <w:b/>
          <w:noProof/>
          <w:lang w:val="es-CO" w:eastAsia="es-CO"/>
        </w:rPr>
        <w:t>uantía</w:t>
      </w:r>
      <w:r>
        <w:rPr>
          <w:b/>
          <w:noProof/>
          <w:lang w:val="es-CO" w:eastAsia="es-CO"/>
        </w:rPr>
        <w:t>.</w:t>
      </w:r>
    </w:p>
    <w:p w14:paraId="47927AED" w14:textId="77777777" w:rsidR="003B41C3" w:rsidRDefault="003B41C3" w:rsidP="003B41C3">
      <w:pPr>
        <w:pStyle w:val="Prrafodelista"/>
        <w:ind w:left="0" w:right="-283"/>
        <w:jc w:val="both"/>
        <w:rPr>
          <w:noProof/>
          <w:lang w:val="es-CO" w:eastAsia="es-CO"/>
        </w:rPr>
      </w:pPr>
    </w:p>
    <w:p w14:paraId="5982A020" w14:textId="77777777" w:rsidR="003B41C3" w:rsidRPr="00D73A5E" w:rsidRDefault="003B41C3" w:rsidP="003B41C3">
      <w:pPr>
        <w:pStyle w:val="Prrafodelista"/>
        <w:ind w:left="0" w:right="-283"/>
        <w:jc w:val="both"/>
        <w:rPr>
          <w:noProof/>
          <w:lang w:val="es-CO" w:eastAsia="es-CO"/>
        </w:rPr>
      </w:pPr>
      <w:r w:rsidRPr="00D73A5E">
        <w:rPr>
          <w:noProof/>
          <w:lang w:val="es-CO" w:eastAsia="es-CO"/>
        </w:rPr>
        <w:t xml:space="preserve">Han terminado 20 procesos con cuantías superiores a los </w:t>
      </w:r>
      <w:r>
        <w:rPr>
          <w:noProof/>
          <w:lang w:val="es-CO" w:eastAsia="es-CO"/>
        </w:rPr>
        <w:t>$</w:t>
      </w:r>
      <w:r w:rsidRPr="00D73A5E">
        <w:rPr>
          <w:noProof/>
          <w:lang w:val="es-CO" w:eastAsia="es-CO"/>
        </w:rPr>
        <w:t xml:space="preserve">20.000 millones con fallo favorable a los intereses del Estado. Las pretensiones de estos procesos estan alrededor de los </w:t>
      </w:r>
      <w:r>
        <w:rPr>
          <w:noProof/>
          <w:lang w:val="es-CO" w:eastAsia="es-CO"/>
        </w:rPr>
        <w:t>$</w:t>
      </w:r>
      <w:r w:rsidRPr="00D73A5E">
        <w:rPr>
          <w:noProof/>
          <w:lang w:val="es-CO" w:eastAsia="es-CO"/>
        </w:rPr>
        <w:t>3.4 billones</w:t>
      </w:r>
      <w:r>
        <w:rPr>
          <w:noProof/>
          <w:lang w:val="es-CO" w:eastAsia="es-CO"/>
        </w:rPr>
        <w:t>.</w:t>
      </w:r>
    </w:p>
    <w:p w14:paraId="0345D727" w14:textId="77777777" w:rsidR="003B41C3" w:rsidRPr="003268DF" w:rsidRDefault="003B41C3" w:rsidP="003B41C3">
      <w:pPr>
        <w:pStyle w:val="Prrafodelista"/>
        <w:ind w:left="0" w:right="-283"/>
        <w:jc w:val="both"/>
        <w:rPr>
          <w:noProof/>
          <w:lang w:val="es-CO" w:eastAsia="es-CO"/>
        </w:rPr>
      </w:pPr>
    </w:p>
    <w:p w14:paraId="295B9962" w14:textId="77777777" w:rsidR="003B41C3" w:rsidRPr="003268DF" w:rsidRDefault="003B41C3" w:rsidP="003B41C3">
      <w:pPr>
        <w:pStyle w:val="Prrafodelista"/>
        <w:ind w:left="0" w:right="-283"/>
        <w:jc w:val="both"/>
        <w:rPr>
          <w:noProof/>
          <w:lang w:val="es-CO" w:eastAsia="es-CO"/>
        </w:rPr>
      </w:pPr>
      <w:r w:rsidRPr="003268DF">
        <w:rPr>
          <w:noProof/>
          <w:lang w:val="es-CO" w:eastAsia="es-CO"/>
        </w:rPr>
        <w:t xml:space="preserve">Actualmente la distribución de procesos por sector y cuantía gestionados por la Dirección de </w:t>
      </w:r>
      <w:r>
        <w:rPr>
          <w:noProof/>
          <w:lang w:val="es-CO" w:eastAsia="es-CO"/>
        </w:rPr>
        <w:t>D</w:t>
      </w:r>
      <w:r w:rsidRPr="003268DF">
        <w:rPr>
          <w:noProof/>
          <w:lang w:val="es-CO" w:eastAsia="es-CO"/>
        </w:rPr>
        <w:t>efensa es la siguiente:</w:t>
      </w:r>
      <w:r>
        <w:rPr>
          <w:noProof/>
          <w:lang w:val="es-CO" w:eastAsia="es-CO"/>
        </w:rPr>
        <w:t xml:space="preserve"> (Tabla 10)</w:t>
      </w:r>
    </w:p>
    <w:p w14:paraId="3A181082" w14:textId="77777777" w:rsidR="003B41C3" w:rsidRDefault="003B41C3" w:rsidP="003B41C3">
      <w:pPr>
        <w:pStyle w:val="Prrafodelista"/>
        <w:ind w:left="0" w:right="-283"/>
        <w:jc w:val="both"/>
        <w:rPr>
          <w:b/>
          <w:noProof/>
          <w:lang w:val="es-CO" w:eastAsia="es-CO"/>
        </w:rPr>
      </w:pPr>
    </w:p>
    <w:p w14:paraId="483E15C8" w14:textId="77777777" w:rsidR="003B41C3" w:rsidRPr="00E46994" w:rsidRDefault="003B41C3" w:rsidP="003B41C3">
      <w:pPr>
        <w:pStyle w:val="Prrafodelista"/>
        <w:ind w:left="0" w:right="-283"/>
        <w:jc w:val="center"/>
        <w:rPr>
          <w:b/>
          <w:noProof/>
          <w:sz w:val="18"/>
          <w:szCs w:val="18"/>
          <w:lang w:val="es-CO" w:eastAsia="es-CO"/>
        </w:rPr>
      </w:pPr>
      <w:r w:rsidRPr="00E46994">
        <w:rPr>
          <w:b/>
          <w:noProof/>
          <w:sz w:val="18"/>
          <w:szCs w:val="18"/>
          <w:lang w:val="es-CO" w:eastAsia="es-CO"/>
        </w:rPr>
        <w:t xml:space="preserve">Tabla </w:t>
      </w:r>
      <w:r>
        <w:rPr>
          <w:b/>
          <w:noProof/>
          <w:sz w:val="18"/>
          <w:szCs w:val="18"/>
          <w:lang w:val="es-CO" w:eastAsia="es-CO"/>
        </w:rPr>
        <w:t>10</w:t>
      </w:r>
    </w:p>
    <w:tbl>
      <w:tblPr>
        <w:tblW w:w="8372" w:type="dxa"/>
        <w:jc w:val="center"/>
        <w:tblLayout w:type="fixed"/>
        <w:tblCellMar>
          <w:left w:w="0" w:type="dxa"/>
          <w:right w:w="0" w:type="dxa"/>
        </w:tblCellMar>
        <w:tblLook w:val="0600" w:firstRow="0" w:lastRow="0" w:firstColumn="0" w:lastColumn="0" w:noHBand="1" w:noVBand="1"/>
      </w:tblPr>
      <w:tblGrid>
        <w:gridCol w:w="2967"/>
        <w:gridCol w:w="1985"/>
        <w:gridCol w:w="3420"/>
      </w:tblGrid>
      <w:tr w:rsidR="003B41C3" w:rsidRPr="007D7EF1" w14:paraId="166EC94E" w14:textId="77777777" w:rsidTr="003B41C3">
        <w:trPr>
          <w:trHeight w:val="543"/>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10D6693C" w14:textId="77777777" w:rsidR="003B41C3" w:rsidRPr="005C00E4" w:rsidRDefault="003B41C3" w:rsidP="003B41C3">
            <w:pPr>
              <w:pStyle w:val="Prrafodelista"/>
              <w:jc w:val="center"/>
              <w:rPr>
                <w:b/>
                <w:noProof/>
                <w:sz w:val="18"/>
                <w:szCs w:val="18"/>
                <w:lang w:val="es-CO" w:eastAsia="es-CO"/>
              </w:rPr>
            </w:pPr>
            <w:r w:rsidRPr="005C00E4">
              <w:rPr>
                <w:b/>
                <w:noProof/>
                <w:sz w:val="18"/>
                <w:szCs w:val="18"/>
                <w:lang w:val="es-CO" w:eastAsia="es-CO"/>
              </w:rPr>
              <w:t>Sector</w:t>
            </w:r>
          </w:p>
        </w:tc>
        <w:tc>
          <w:tcPr>
            <w:tcW w:w="198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bottom"/>
            <w:hideMark/>
          </w:tcPr>
          <w:p w14:paraId="0C8FD288" w14:textId="77777777" w:rsidR="003B41C3" w:rsidRPr="005C00E4" w:rsidRDefault="003B41C3" w:rsidP="003B41C3">
            <w:pPr>
              <w:pStyle w:val="Prrafodelista"/>
              <w:jc w:val="center"/>
              <w:rPr>
                <w:b/>
                <w:noProof/>
                <w:sz w:val="18"/>
                <w:szCs w:val="18"/>
                <w:lang w:val="es-CO" w:eastAsia="es-CO"/>
              </w:rPr>
            </w:pPr>
            <w:r w:rsidRPr="005C00E4">
              <w:rPr>
                <w:b/>
                <w:noProof/>
                <w:sz w:val="18"/>
                <w:szCs w:val="18"/>
                <w:lang w:val="es-CO" w:eastAsia="es-CO"/>
              </w:rPr>
              <w:t>Número de Procesos</w:t>
            </w:r>
          </w:p>
        </w:tc>
        <w:tc>
          <w:tcPr>
            <w:tcW w:w="342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bottom"/>
            <w:hideMark/>
          </w:tcPr>
          <w:p w14:paraId="048C5392" w14:textId="77777777" w:rsidR="003B41C3" w:rsidRPr="005C00E4" w:rsidRDefault="003B41C3" w:rsidP="003B41C3">
            <w:pPr>
              <w:pStyle w:val="Prrafodelista"/>
              <w:jc w:val="center"/>
              <w:rPr>
                <w:b/>
                <w:noProof/>
                <w:sz w:val="18"/>
                <w:szCs w:val="18"/>
                <w:lang w:val="es-CO" w:eastAsia="es-CO"/>
              </w:rPr>
            </w:pPr>
            <w:r w:rsidRPr="005C00E4">
              <w:rPr>
                <w:b/>
                <w:noProof/>
                <w:sz w:val="18"/>
                <w:szCs w:val="18"/>
                <w:lang w:val="es-CO" w:eastAsia="es-CO"/>
              </w:rPr>
              <w:t>Suma de Cuantía en Litigob Indexada</w:t>
            </w:r>
          </w:p>
        </w:tc>
      </w:tr>
      <w:tr w:rsidR="003B41C3" w:rsidRPr="007D7EF1" w14:paraId="54484D5C"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332D70D5" w14:textId="77777777" w:rsidR="003B41C3" w:rsidRPr="005C00E4" w:rsidRDefault="003B41C3" w:rsidP="003B41C3">
            <w:pPr>
              <w:rPr>
                <w:b/>
                <w:noProof/>
                <w:sz w:val="18"/>
                <w:szCs w:val="18"/>
                <w:lang w:val="es-CO" w:eastAsia="es-CO"/>
              </w:rPr>
            </w:pPr>
            <w:r w:rsidRPr="005C00E4">
              <w:rPr>
                <w:b/>
                <w:noProof/>
                <w:sz w:val="18"/>
                <w:szCs w:val="18"/>
                <w:lang w:val="es-CO" w:eastAsia="es-CO"/>
              </w:rPr>
              <w:t>Agricultura y Desarrollo Rural</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14E5765"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21</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657BAA7C"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$ 1.304.675.254.496,00</w:t>
            </w:r>
          </w:p>
        </w:tc>
      </w:tr>
      <w:tr w:rsidR="003B41C3" w:rsidRPr="007D7EF1" w14:paraId="27921D1D"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74CC94FD" w14:textId="77777777" w:rsidR="003B41C3" w:rsidRPr="005C00E4" w:rsidRDefault="003B41C3" w:rsidP="003B41C3">
            <w:pPr>
              <w:rPr>
                <w:b/>
                <w:noProof/>
                <w:sz w:val="18"/>
                <w:szCs w:val="18"/>
                <w:lang w:val="es-CO" w:eastAsia="es-CO"/>
              </w:rPr>
            </w:pPr>
            <w:r w:rsidRPr="005C00E4">
              <w:rPr>
                <w:b/>
                <w:noProof/>
                <w:sz w:val="18"/>
                <w:szCs w:val="18"/>
                <w:lang w:val="es-CO" w:eastAsia="es-CO"/>
              </w:rPr>
              <w:t>Ambiente y Desarrollo Sostenible</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677CB48E"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30</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36279529"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$ 7.427.989.445.591,00</w:t>
            </w:r>
          </w:p>
        </w:tc>
      </w:tr>
      <w:tr w:rsidR="003B41C3" w:rsidRPr="007D7EF1" w14:paraId="46E76944"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2B73A57F" w14:textId="77777777" w:rsidR="003B41C3" w:rsidRPr="005C00E4" w:rsidRDefault="003B41C3" w:rsidP="003B41C3">
            <w:pPr>
              <w:rPr>
                <w:b/>
                <w:noProof/>
                <w:sz w:val="18"/>
                <w:szCs w:val="18"/>
                <w:lang w:val="es-CO" w:eastAsia="es-CO"/>
              </w:rPr>
            </w:pPr>
            <w:r w:rsidRPr="005C00E4">
              <w:rPr>
                <w:b/>
                <w:noProof/>
                <w:sz w:val="18"/>
                <w:szCs w:val="18"/>
                <w:lang w:val="es-CO" w:eastAsia="es-CO"/>
              </w:rPr>
              <w:t>Comercio, Industria y Turismo</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0EA0C950"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7</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4957C32D"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$ 591.656.806.150,00</w:t>
            </w:r>
          </w:p>
        </w:tc>
      </w:tr>
      <w:tr w:rsidR="003B41C3" w:rsidRPr="007D7EF1" w14:paraId="135FEEBD"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36BE4054" w14:textId="77777777" w:rsidR="003B41C3" w:rsidRPr="005C00E4" w:rsidRDefault="003B41C3" w:rsidP="003B41C3">
            <w:pPr>
              <w:rPr>
                <w:b/>
                <w:noProof/>
                <w:sz w:val="18"/>
                <w:szCs w:val="18"/>
                <w:lang w:val="es-CO" w:eastAsia="es-CO"/>
              </w:rPr>
            </w:pPr>
            <w:r w:rsidRPr="005C00E4">
              <w:rPr>
                <w:b/>
                <w:noProof/>
                <w:sz w:val="18"/>
                <w:szCs w:val="18"/>
                <w:lang w:val="es-CO" w:eastAsia="es-CO"/>
              </w:rPr>
              <w:t>Defensa Nacional</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3BB69C33"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21</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67932784"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$ 1.489.820.685.284,00</w:t>
            </w:r>
          </w:p>
        </w:tc>
      </w:tr>
      <w:tr w:rsidR="003B41C3" w:rsidRPr="007D7EF1" w14:paraId="3E6D4795"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62567ED5" w14:textId="77777777" w:rsidR="003B41C3" w:rsidRPr="005C00E4" w:rsidRDefault="003B41C3" w:rsidP="003B41C3">
            <w:pPr>
              <w:rPr>
                <w:b/>
                <w:noProof/>
                <w:sz w:val="18"/>
                <w:szCs w:val="18"/>
                <w:lang w:val="es-CO" w:eastAsia="es-CO"/>
              </w:rPr>
            </w:pPr>
            <w:r w:rsidRPr="005C00E4">
              <w:rPr>
                <w:b/>
                <w:noProof/>
                <w:sz w:val="18"/>
                <w:szCs w:val="18"/>
                <w:lang w:val="es-CO" w:eastAsia="es-CO"/>
              </w:rPr>
              <w:t>Educación</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2B4C97BC"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3</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3465BF6B"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$ 311.776.303.600,00</w:t>
            </w:r>
          </w:p>
        </w:tc>
      </w:tr>
      <w:tr w:rsidR="003B41C3" w:rsidRPr="007D7EF1" w14:paraId="560B85F9"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0160058F" w14:textId="77777777" w:rsidR="003B41C3" w:rsidRPr="005C00E4" w:rsidRDefault="003B41C3" w:rsidP="003B41C3">
            <w:pPr>
              <w:rPr>
                <w:b/>
                <w:noProof/>
                <w:sz w:val="18"/>
                <w:szCs w:val="18"/>
                <w:lang w:val="es-CO" w:eastAsia="es-CO"/>
              </w:rPr>
            </w:pPr>
            <w:r w:rsidRPr="005C00E4">
              <w:rPr>
                <w:b/>
                <w:noProof/>
                <w:sz w:val="18"/>
                <w:szCs w:val="18"/>
                <w:lang w:val="es-CO" w:eastAsia="es-CO"/>
              </w:rPr>
              <w:t>Estadística</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5BC1FE0A"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1</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3C3B9D3A"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$ 198.642.713.308,00</w:t>
            </w:r>
          </w:p>
        </w:tc>
      </w:tr>
      <w:tr w:rsidR="003B41C3" w:rsidRPr="007D7EF1" w14:paraId="010E544B"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131F7B60" w14:textId="77777777" w:rsidR="003B41C3" w:rsidRPr="005C00E4" w:rsidRDefault="003B41C3" w:rsidP="003B41C3">
            <w:pPr>
              <w:rPr>
                <w:b/>
                <w:noProof/>
                <w:sz w:val="18"/>
                <w:szCs w:val="18"/>
                <w:lang w:val="es-CO" w:eastAsia="es-CO"/>
              </w:rPr>
            </w:pPr>
            <w:r w:rsidRPr="005C00E4">
              <w:rPr>
                <w:b/>
                <w:noProof/>
                <w:sz w:val="18"/>
                <w:szCs w:val="18"/>
                <w:lang w:val="es-CO" w:eastAsia="es-CO"/>
              </w:rPr>
              <w:t>Hacienda y Crédito Público</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39CCC427"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40</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F8DE16F"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$ 8.085.787.763.491,00</w:t>
            </w:r>
          </w:p>
        </w:tc>
      </w:tr>
      <w:tr w:rsidR="003B41C3" w:rsidRPr="007D7EF1" w14:paraId="44A6F7EA"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1DC46331" w14:textId="77777777" w:rsidR="003B41C3" w:rsidRPr="005C00E4" w:rsidRDefault="003B41C3" w:rsidP="003B41C3">
            <w:pPr>
              <w:rPr>
                <w:b/>
                <w:noProof/>
                <w:sz w:val="18"/>
                <w:szCs w:val="18"/>
                <w:lang w:val="es-CO" w:eastAsia="es-CO"/>
              </w:rPr>
            </w:pPr>
            <w:r w:rsidRPr="005C00E4">
              <w:rPr>
                <w:b/>
                <w:noProof/>
                <w:sz w:val="18"/>
                <w:szCs w:val="18"/>
                <w:lang w:val="es-CO" w:eastAsia="es-CO"/>
              </w:rPr>
              <w:t>Inclusión Social y Reconciliacion</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121E0D25"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1</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25EB0837"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$ 23.963.083.429,00</w:t>
            </w:r>
          </w:p>
        </w:tc>
      </w:tr>
      <w:tr w:rsidR="003B41C3" w:rsidRPr="007D7EF1" w14:paraId="6CB31AA8"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5481AA9B" w14:textId="77777777" w:rsidR="003B41C3" w:rsidRPr="005C00E4" w:rsidRDefault="003B41C3" w:rsidP="003B41C3">
            <w:pPr>
              <w:rPr>
                <w:b/>
                <w:noProof/>
                <w:sz w:val="18"/>
                <w:szCs w:val="18"/>
                <w:lang w:val="es-CO" w:eastAsia="es-CO"/>
              </w:rPr>
            </w:pPr>
            <w:r w:rsidRPr="005C00E4">
              <w:rPr>
                <w:b/>
                <w:noProof/>
                <w:sz w:val="18"/>
                <w:szCs w:val="18"/>
                <w:lang w:val="es-CO" w:eastAsia="es-CO"/>
              </w:rPr>
              <w:t>Interior</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0D7ACF55"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2</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3B70AD3F"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$ 113.633.341.646,00</w:t>
            </w:r>
          </w:p>
        </w:tc>
      </w:tr>
      <w:tr w:rsidR="003B41C3" w:rsidRPr="007D7EF1" w14:paraId="0274EDCC"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2E1297E4" w14:textId="77777777" w:rsidR="003B41C3" w:rsidRPr="005C00E4" w:rsidRDefault="003B41C3" w:rsidP="003B41C3">
            <w:pPr>
              <w:rPr>
                <w:b/>
                <w:noProof/>
                <w:sz w:val="18"/>
                <w:szCs w:val="18"/>
                <w:lang w:val="es-CO" w:eastAsia="es-CO"/>
              </w:rPr>
            </w:pPr>
            <w:r w:rsidRPr="005C00E4">
              <w:rPr>
                <w:b/>
                <w:noProof/>
                <w:sz w:val="18"/>
                <w:szCs w:val="18"/>
                <w:lang w:val="es-CO" w:eastAsia="es-CO"/>
              </w:rPr>
              <w:t>Justicia</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1A59DF38"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5</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04D53593"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$ 174.779.486.724,00</w:t>
            </w:r>
          </w:p>
        </w:tc>
      </w:tr>
      <w:tr w:rsidR="003B41C3" w:rsidRPr="007D7EF1" w14:paraId="5D21C763"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5AD350B9" w14:textId="77777777" w:rsidR="003B41C3" w:rsidRPr="005C00E4" w:rsidRDefault="003B41C3" w:rsidP="003B41C3">
            <w:pPr>
              <w:rPr>
                <w:b/>
                <w:noProof/>
                <w:sz w:val="18"/>
                <w:szCs w:val="18"/>
                <w:lang w:val="es-CO" w:eastAsia="es-CO"/>
              </w:rPr>
            </w:pPr>
            <w:r w:rsidRPr="005C00E4">
              <w:rPr>
                <w:b/>
                <w:noProof/>
                <w:sz w:val="18"/>
                <w:szCs w:val="18"/>
                <w:lang w:val="es-CO" w:eastAsia="es-CO"/>
              </w:rPr>
              <w:t xml:space="preserve">Minas y Energia </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7CCAA17"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35</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01A61FE2"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$ 7.310.981.715.798,00</w:t>
            </w:r>
          </w:p>
        </w:tc>
      </w:tr>
      <w:tr w:rsidR="003B41C3" w:rsidRPr="007D7EF1" w14:paraId="5B815F98"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73EB1A32" w14:textId="77777777" w:rsidR="003B41C3" w:rsidRPr="005C00E4" w:rsidRDefault="003B41C3" w:rsidP="003B41C3">
            <w:pPr>
              <w:rPr>
                <w:b/>
                <w:noProof/>
                <w:sz w:val="18"/>
                <w:szCs w:val="18"/>
                <w:lang w:val="es-CO" w:eastAsia="es-CO"/>
              </w:rPr>
            </w:pPr>
            <w:r w:rsidRPr="005C00E4">
              <w:rPr>
                <w:b/>
                <w:noProof/>
                <w:sz w:val="18"/>
                <w:szCs w:val="18"/>
                <w:lang w:val="es-CO" w:eastAsia="es-CO"/>
              </w:rPr>
              <w:t>Organismos Autónomos</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1D58F7C9"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8</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926AB2A"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$ 610.823.801.565,00</w:t>
            </w:r>
          </w:p>
        </w:tc>
      </w:tr>
      <w:tr w:rsidR="003B41C3" w:rsidRPr="007D7EF1" w14:paraId="461056F0"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0D3D3572" w14:textId="77777777" w:rsidR="003B41C3" w:rsidRPr="005C00E4" w:rsidRDefault="003B41C3" w:rsidP="003B41C3">
            <w:pPr>
              <w:rPr>
                <w:b/>
                <w:noProof/>
                <w:sz w:val="18"/>
                <w:szCs w:val="18"/>
                <w:lang w:val="es-CO" w:eastAsia="es-CO"/>
              </w:rPr>
            </w:pPr>
            <w:r w:rsidRPr="005C00E4">
              <w:rPr>
                <w:b/>
                <w:noProof/>
                <w:sz w:val="18"/>
                <w:szCs w:val="18"/>
                <w:lang w:val="es-CO" w:eastAsia="es-CO"/>
              </w:rPr>
              <w:t>Organismos de Control</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0038071F"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1</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0075E64A"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$ 39.643.607.486,00</w:t>
            </w:r>
          </w:p>
        </w:tc>
      </w:tr>
      <w:tr w:rsidR="003B41C3" w:rsidRPr="007D7EF1" w14:paraId="1BC1291B"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7BE403EC" w14:textId="77777777" w:rsidR="003B41C3" w:rsidRPr="005C00E4" w:rsidRDefault="003B41C3" w:rsidP="003B41C3">
            <w:pPr>
              <w:rPr>
                <w:b/>
                <w:noProof/>
                <w:sz w:val="18"/>
                <w:szCs w:val="18"/>
                <w:lang w:val="es-CO" w:eastAsia="es-CO"/>
              </w:rPr>
            </w:pPr>
            <w:r w:rsidRPr="005C00E4">
              <w:rPr>
                <w:b/>
                <w:noProof/>
                <w:sz w:val="18"/>
                <w:szCs w:val="18"/>
                <w:lang w:val="es-CO" w:eastAsia="es-CO"/>
              </w:rPr>
              <w:t>Planeación</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57765E0"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5</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008C2702"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$ 834.447.766.272,00</w:t>
            </w:r>
          </w:p>
        </w:tc>
      </w:tr>
      <w:tr w:rsidR="003B41C3" w:rsidRPr="007D7EF1" w14:paraId="478CDFF9"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5C52BF2F" w14:textId="77777777" w:rsidR="003B41C3" w:rsidRPr="005C00E4" w:rsidRDefault="003B41C3" w:rsidP="003B41C3">
            <w:pPr>
              <w:rPr>
                <w:b/>
                <w:noProof/>
                <w:sz w:val="18"/>
                <w:szCs w:val="18"/>
                <w:lang w:val="es-CO" w:eastAsia="es-CO"/>
              </w:rPr>
            </w:pPr>
            <w:r w:rsidRPr="005C00E4">
              <w:rPr>
                <w:b/>
                <w:noProof/>
                <w:sz w:val="18"/>
                <w:szCs w:val="18"/>
                <w:lang w:val="es-CO" w:eastAsia="es-CO"/>
              </w:rPr>
              <w:t>Presidencia de la República</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6D7D5343"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3</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BF02A1F"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$ 114.135.946.486,00</w:t>
            </w:r>
          </w:p>
        </w:tc>
      </w:tr>
      <w:tr w:rsidR="003B41C3" w:rsidRPr="007D7EF1" w14:paraId="7A566E27"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02791EEA" w14:textId="77777777" w:rsidR="003B41C3" w:rsidRPr="005C00E4" w:rsidRDefault="003B41C3" w:rsidP="003B41C3">
            <w:pPr>
              <w:rPr>
                <w:b/>
                <w:noProof/>
                <w:sz w:val="18"/>
                <w:szCs w:val="18"/>
                <w:lang w:val="es-CO" w:eastAsia="es-CO"/>
              </w:rPr>
            </w:pPr>
            <w:r w:rsidRPr="005C00E4">
              <w:rPr>
                <w:b/>
                <w:noProof/>
                <w:sz w:val="18"/>
                <w:szCs w:val="18"/>
                <w:lang w:val="es-CO" w:eastAsia="es-CO"/>
              </w:rPr>
              <w:t>Rama Judicial</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BA3A71C"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6</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504ECE8A"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$ 455.211.012.724,00</w:t>
            </w:r>
          </w:p>
        </w:tc>
      </w:tr>
      <w:tr w:rsidR="003B41C3" w:rsidRPr="007D7EF1" w14:paraId="4888C178"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60CCCF31" w14:textId="77777777" w:rsidR="003B41C3" w:rsidRPr="005C00E4" w:rsidRDefault="003B41C3" w:rsidP="003B41C3">
            <w:pPr>
              <w:rPr>
                <w:b/>
                <w:noProof/>
                <w:sz w:val="18"/>
                <w:szCs w:val="18"/>
                <w:lang w:val="es-CO" w:eastAsia="es-CO"/>
              </w:rPr>
            </w:pPr>
            <w:r w:rsidRPr="005C00E4">
              <w:rPr>
                <w:b/>
                <w:noProof/>
                <w:sz w:val="18"/>
                <w:szCs w:val="18"/>
                <w:lang w:val="es-CO" w:eastAsia="es-CO"/>
              </w:rPr>
              <w:t>Salud</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2C3582EA"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12</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1BEC0501"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$ 1.948.204.466.251,00</w:t>
            </w:r>
          </w:p>
        </w:tc>
      </w:tr>
      <w:tr w:rsidR="003B41C3" w:rsidRPr="007D7EF1" w14:paraId="14C25AD1" w14:textId="77777777" w:rsidTr="003B41C3">
        <w:trPr>
          <w:trHeight w:val="42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4172E4B9" w14:textId="77777777" w:rsidR="003B41C3" w:rsidRPr="005C00E4" w:rsidRDefault="003B41C3" w:rsidP="003B41C3">
            <w:pPr>
              <w:rPr>
                <w:b/>
                <w:noProof/>
                <w:sz w:val="18"/>
                <w:szCs w:val="18"/>
                <w:lang w:val="es-CO" w:eastAsia="es-CO"/>
              </w:rPr>
            </w:pPr>
            <w:r w:rsidRPr="005C00E4">
              <w:rPr>
                <w:b/>
                <w:noProof/>
                <w:sz w:val="18"/>
                <w:szCs w:val="18"/>
                <w:lang w:val="es-CO" w:eastAsia="es-CO"/>
              </w:rPr>
              <w:lastRenderedPageBreak/>
              <w:t>Seguridad</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6FBD55A9"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2</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4D8C2709"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$ 88.644.940.436,00</w:t>
            </w:r>
          </w:p>
        </w:tc>
      </w:tr>
      <w:tr w:rsidR="003B41C3" w:rsidRPr="007D7EF1" w14:paraId="14BE4345"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7F22AF88" w14:textId="77777777" w:rsidR="003B41C3" w:rsidRPr="005C00E4" w:rsidRDefault="003B41C3" w:rsidP="003B41C3">
            <w:pPr>
              <w:rPr>
                <w:b/>
                <w:noProof/>
                <w:sz w:val="18"/>
                <w:szCs w:val="18"/>
                <w:lang w:val="es-CO" w:eastAsia="es-CO"/>
              </w:rPr>
            </w:pPr>
            <w:r w:rsidRPr="005C00E4">
              <w:rPr>
                <w:b/>
                <w:noProof/>
                <w:sz w:val="18"/>
                <w:szCs w:val="18"/>
                <w:lang w:val="es-CO" w:eastAsia="es-CO"/>
              </w:rPr>
              <w:t>Tecnologías de la Información y las Comunicaciones</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0B4E9AB"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4</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6775294C"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$ 477.924.347.749,00</w:t>
            </w:r>
          </w:p>
        </w:tc>
      </w:tr>
      <w:tr w:rsidR="003B41C3" w:rsidRPr="007D7EF1" w14:paraId="367B2F35"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62276ECD" w14:textId="77777777" w:rsidR="003B41C3" w:rsidRPr="005C00E4" w:rsidRDefault="003B41C3" w:rsidP="003B41C3">
            <w:pPr>
              <w:rPr>
                <w:b/>
                <w:noProof/>
                <w:sz w:val="18"/>
                <w:szCs w:val="18"/>
                <w:lang w:val="es-CO" w:eastAsia="es-CO"/>
              </w:rPr>
            </w:pPr>
            <w:r w:rsidRPr="005C00E4">
              <w:rPr>
                <w:b/>
                <w:noProof/>
                <w:sz w:val="18"/>
                <w:szCs w:val="18"/>
                <w:lang w:val="es-CO" w:eastAsia="es-CO"/>
              </w:rPr>
              <w:t>Trabajo</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1DD2AC48"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4</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3627F8A9"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$ 546.636.548.944,00</w:t>
            </w:r>
          </w:p>
        </w:tc>
      </w:tr>
      <w:tr w:rsidR="003B41C3" w:rsidRPr="007D7EF1" w14:paraId="7C9BA232"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2ECEC67E" w14:textId="77777777" w:rsidR="003B41C3" w:rsidRPr="005C00E4" w:rsidRDefault="003B41C3" w:rsidP="003B41C3">
            <w:pPr>
              <w:rPr>
                <w:b/>
                <w:noProof/>
                <w:sz w:val="18"/>
                <w:szCs w:val="18"/>
                <w:lang w:val="es-CO" w:eastAsia="es-CO"/>
              </w:rPr>
            </w:pPr>
            <w:r w:rsidRPr="005C00E4">
              <w:rPr>
                <w:b/>
                <w:noProof/>
                <w:sz w:val="18"/>
                <w:szCs w:val="18"/>
                <w:lang w:val="es-CO" w:eastAsia="es-CO"/>
              </w:rPr>
              <w:t>Transporte</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4DA19921"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17</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4B7C5A29"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$ 2.311.730.328.902,00</w:t>
            </w:r>
          </w:p>
        </w:tc>
      </w:tr>
      <w:tr w:rsidR="003B41C3" w:rsidRPr="007D7EF1" w14:paraId="7BD85917" w14:textId="77777777" w:rsidTr="003B41C3">
        <w:trPr>
          <w:trHeight w:val="294"/>
          <w:jc w:val="center"/>
        </w:trPr>
        <w:tc>
          <w:tcPr>
            <w:tcW w:w="296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5" w:type="dxa"/>
              <w:bottom w:w="0" w:type="dxa"/>
              <w:right w:w="15" w:type="dxa"/>
            </w:tcMar>
            <w:vAlign w:val="bottom"/>
            <w:hideMark/>
          </w:tcPr>
          <w:p w14:paraId="79AA470E" w14:textId="77777777" w:rsidR="003B41C3" w:rsidRPr="005C00E4" w:rsidRDefault="003B41C3" w:rsidP="003B41C3">
            <w:pPr>
              <w:rPr>
                <w:b/>
                <w:noProof/>
                <w:sz w:val="18"/>
                <w:szCs w:val="18"/>
                <w:lang w:val="es-CO" w:eastAsia="es-CO"/>
              </w:rPr>
            </w:pPr>
            <w:r w:rsidRPr="005C00E4">
              <w:rPr>
                <w:b/>
                <w:noProof/>
                <w:sz w:val="18"/>
                <w:szCs w:val="18"/>
                <w:lang w:val="es-CO" w:eastAsia="es-CO"/>
              </w:rPr>
              <w:t>TOTAL GENERAL</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1474DDB3" w14:textId="77777777" w:rsidR="003B41C3" w:rsidRPr="005C00E4" w:rsidRDefault="003B41C3" w:rsidP="003B41C3">
            <w:pPr>
              <w:rPr>
                <w:b/>
                <w:noProof/>
                <w:sz w:val="18"/>
                <w:szCs w:val="18"/>
                <w:lang w:val="es-CO" w:eastAsia="es-CO"/>
              </w:rPr>
            </w:pPr>
            <w:r>
              <w:rPr>
                <w:b/>
                <w:noProof/>
                <w:sz w:val="18"/>
                <w:szCs w:val="18"/>
                <w:lang w:val="es-CO" w:eastAsia="es-CO"/>
              </w:rPr>
              <w:t xml:space="preserve">                </w:t>
            </w:r>
            <w:r w:rsidRPr="005C00E4">
              <w:rPr>
                <w:b/>
                <w:noProof/>
                <w:sz w:val="18"/>
                <w:szCs w:val="18"/>
                <w:lang w:val="es-CO" w:eastAsia="es-CO"/>
              </w:rPr>
              <w:t>228</w:t>
            </w:r>
          </w:p>
        </w:tc>
        <w:tc>
          <w:tcPr>
            <w:tcW w:w="342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6269C802" w14:textId="77777777" w:rsidR="003B41C3" w:rsidRPr="005C00E4" w:rsidRDefault="003B41C3" w:rsidP="003B41C3">
            <w:pPr>
              <w:pStyle w:val="Prrafodelista"/>
              <w:jc w:val="both"/>
              <w:rPr>
                <w:b/>
                <w:noProof/>
                <w:sz w:val="18"/>
                <w:szCs w:val="18"/>
                <w:lang w:val="es-CO" w:eastAsia="es-CO"/>
              </w:rPr>
            </w:pPr>
          </w:p>
          <w:p w14:paraId="0F2AE679" w14:textId="77777777" w:rsidR="003B41C3" w:rsidRPr="005C00E4" w:rsidRDefault="003B41C3" w:rsidP="003B41C3">
            <w:pPr>
              <w:pStyle w:val="Prrafodelista"/>
              <w:jc w:val="both"/>
              <w:rPr>
                <w:b/>
                <w:noProof/>
                <w:sz w:val="18"/>
                <w:szCs w:val="18"/>
                <w:lang w:val="es-CO" w:eastAsia="es-CO"/>
              </w:rPr>
            </w:pPr>
            <w:r w:rsidRPr="005C00E4">
              <w:rPr>
                <w:b/>
                <w:noProof/>
                <w:sz w:val="18"/>
                <w:szCs w:val="18"/>
                <w:lang w:val="es-CO" w:eastAsia="es-CO"/>
              </w:rPr>
              <w:t>$ 34.461.109.366.332,00</w:t>
            </w:r>
          </w:p>
        </w:tc>
      </w:tr>
    </w:tbl>
    <w:p w14:paraId="10108EAF" w14:textId="29E398EC" w:rsidR="00D12D9B" w:rsidRPr="00EE7842" w:rsidRDefault="00D12D9B" w:rsidP="00D12D9B">
      <w:pPr>
        <w:ind w:right="-283"/>
        <w:jc w:val="center"/>
        <w:rPr>
          <w:rFonts w:cs="Arial"/>
          <w:b/>
          <w:sz w:val="20"/>
          <w:szCs w:val="20"/>
        </w:rPr>
      </w:pPr>
      <w:r w:rsidRPr="009915EB">
        <w:rPr>
          <w:rFonts w:cs="Arial"/>
          <w:b/>
          <w:sz w:val="18"/>
          <w:szCs w:val="18"/>
        </w:rPr>
        <w:t xml:space="preserve">Fuente: Sistema Único de Gestión e </w:t>
      </w:r>
      <w:r w:rsidRPr="00284617">
        <w:rPr>
          <w:rFonts w:cs="Arial"/>
          <w:b/>
          <w:sz w:val="18"/>
          <w:szCs w:val="18"/>
        </w:rPr>
        <w:t>Información de la Actividad Litigiosa del Estado (</w:t>
      </w:r>
      <w:r>
        <w:rPr>
          <w:rFonts w:cs="Arial"/>
          <w:b/>
          <w:sz w:val="18"/>
          <w:szCs w:val="18"/>
        </w:rPr>
        <w:t xml:space="preserve">Enero a </w:t>
      </w:r>
      <w:r w:rsidRPr="00284617">
        <w:rPr>
          <w:rFonts w:cs="Arial"/>
          <w:b/>
          <w:sz w:val="18"/>
          <w:szCs w:val="18"/>
        </w:rPr>
        <w:t>Sep</w:t>
      </w:r>
      <w:r>
        <w:rPr>
          <w:rFonts w:cs="Arial"/>
          <w:b/>
          <w:sz w:val="18"/>
          <w:szCs w:val="18"/>
        </w:rPr>
        <w:t>tiembre</w:t>
      </w:r>
      <w:r w:rsidRPr="00284617">
        <w:rPr>
          <w:rFonts w:cs="Arial"/>
          <w:b/>
          <w:sz w:val="18"/>
          <w:szCs w:val="18"/>
        </w:rPr>
        <w:t xml:space="preserve"> 30 de 2013). Cálculos: </w:t>
      </w:r>
      <w:r>
        <w:rPr>
          <w:rFonts w:cs="Arial"/>
          <w:b/>
          <w:sz w:val="18"/>
          <w:szCs w:val="18"/>
        </w:rPr>
        <w:t>DDJ</w:t>
      </w:r>
      <w:r w:rsidRPr="0060006B">
        <w:rPr>
          <w:rFonts w:cs="Arial"/>
          <w:b/>
          <w:sz w:val="18"/>
          <w:szCs w:val="18"/>
        </w:rPr>
        <w:t>-ANDJE</w:t>
      </w:r>
    </w:p>
    <w:p w14:paraId="35DEBCD8" w14:textId="77777777" w:rsidR="003B41C3" w:rsidRDefault="003B41C3" w:rsidP="003B41C3">
      <w:pPr>
        <w:pStyle w:val="Prrafodelista"/>
        <w:ind w:left="0"/>
        <w:jc w:val="both"/>
        <w:rPr>
          <w:b/>
          <w:noProof/>
          <w:lang w:val="es-CO" w:eastAsia="es-CO"/>
        </w:rPr>
      </w:pPr>
    </w:p>
    <w:p w14:paraId="3CFF7D1D" w14:textId="77777777" w:rsidR="003B41C3" w:rsidRPr="00AF11BE" w:rsidRDefault="003B41C3" w:rsidP="003B41C3">
      <w:pPr>
        <w:pStyle w:val="Prrafodelista"/>
        <w:numPr>
          <w:ilvl w:val="1"/>
          <w:numId w:val="66"/>
        </w:numPr>
        <w:ind w:right="-283"/>
        <w:jc w:val="both"/>
        <w:rPr>
          <w:b/>
          <w:noProof/>
          <w:lang w:val="es-CO" w:eastAsia="es-CO"/>
        </w:rPr>
      </w:pPr>
      <w:r w:rsidRPr="00AF11BE">
        <w:rPr>
          <w:b/>
          <w:noProof/>
          <w:lang w:val="es-CO" w:eastAsia="es-CO"/>
        </w:rPr>
        <w:t>Recuperación de Dineros</w:t>
      </w:r>
    </w:p>
    <w:p w14:paraId="306FA8CA" w14:textId="77777777" w:rsidR="003B41C3" w:rsidRPr="00853E07" w:rsidRDefault="003B41C3" w:rsidP="003B41C3">
      <w:pPr>
        <w:ind w:right="-283"/>
        <w:jc w:val="both"/>
        <w:rPr>
          <w:noProof/>
          <w:lang w:val="es-CO" w:eastAsia="es-CO"/>
        </w:rPr>
      </w:pPr>
      <w:r w:rsidRPr="00853E07">
        <w:rPr>
          <w:noProof/>
          <w:lang w:val="es-CO" w:eastAsia="es-CO"/>
        </w:rPr>
        <w:t xml:space="preserve">Con el ejercicio de la Acción de Repetición, establecido en el artículo 90 de la Constitución Nacional y reglamentado por la </w:t>
      </w:r>
      <w:r>
        <w:rPr>
          <w:noProof/>
          <w:lang w:val="es-CO" w:eastAsia="es-CO"/>
        </w:rPr>
        <w:t>L</w:t>
      </w:r>
      <w:r w:rsidRPr="00853E07">
        <w:rPr>
          <w:noProof/>
          <w:lang w:val="es-CO" w:eastAsia="es-CO"/>
        </w:rPr>
        <w:t>ey 678 de 2001 que regula la responsabilidad patrimonial de los servidores, cuando las entidades públicas han sido condenadas por un daño antijurídico</w:t>
      </w:r>
      <w:r>
        <w:rPr>
          <w:noProof/>
          <w:lang w:val="es-CO" w:eastAsia="es-CO"/>
        </w:rPr>
        <w:t xml:space="preserve"> </w:t>
      </w:r>
      <w:r w:rsidRPr="00853E07">
        <w:rPr>
          <w:noProof/>
          <w:lang w:val="es-CO" w:eastAsia="es-CO"/>
        </w:rPr>
        <w:t xml:space="preserve">como consecuencia de su conducta dolosa o gravemente culposa, </w:t>
      </w:r>
      <w:r>
        <w:rPr>
          <w:noProof/>
          <w:lang w:val="es-CO" w:eastAsia="es-CO"/>
        </w:rPr>
        <w:t xml:space="preserve">la Agencia </w:t>
      </w:r>
      <w:r w:rsidRPr="00853E07">
        <w:rPr>
          <w:noProof/>
          <w:lang w:val="es-CO" w:eastAsia="es-CO"/>
        </w:rPr>
        <w:t>verifica que las decisiones tomadas por los Comités de Conciliación de las entidades obligadas a ejercer esta acción, result</w:t>
      </w:r>
      <w:r>
        <w:rPr>
          <w:noProof/>
          <w:lang w:val="es-CO" w:eastAsia="es-CO"/>
        </w:rPr>
        <w:t>a</w:t>
      </w:r>
      <w:r w:rsidRPr="00853E07">
        <w:rPr>
          <w:noProof/>
          <w:lang w:val="es-CO" w:eastAsia="es-CO"/>
        </w:rPr>
        <w:t>n ajustadas a los protocolos orientados al efectivo alcance sustancial y procesal para su efectivo ejercicio.</w:t>
      </w:r>
    </w:p>
    <w:p w14:paraId="46AB0C66" w14:textId="77777777" w:rsidR="003B41C3" w:rsidRPr="00853E07" w:rsidRDefault="003B41C3" w:rsidP="003B41C3">
      <w:pPr>
        <w:ind w:right="-283"/>
        <w:jc w:val="both"/>
        <w:rPr>
          <w:noProof/>
          <w:lang w:val="es-CO" w:eastAsia="es-CO"/>
        </w:rPr>
      </w:pPr>
      <w:r w:rsidRPr="00853E07">
        <w:rPr>
          <w:noProof/>
          <w:lang w:val="es-CO" w:eastAsia="es-CO"/>
        </w:rPr>
        <w:t>Para este propósito,</w:t>
      </w:r>
      <w:r>
        <w:rPr>
          <w:noProof/>
          <w:lang w:val="es-CO" w:eastAsia="es-CO"/>
        </w:rPr>
        <w:t xml:space="preserve"> la Agencia </w:t>
      </w:r>
      <w:r w:rsidRPr="00853E07">
        <w:rPr>
          <w:noProof/>
          <w:lang w:val="es-CO" w:eastAsia="es-CO"/>
        </w:rPr>
        <w:t>recauda la información que permita conocer los parámetros con que han venido decidiendo los Comités y determinar si existe la necesidad de plantear recomendaciones</w:t>
      </w:r>
      <w:r>
        <w:rPr>
          <w:noProof/>
          <w:lang w:val="es-CO" w:eastAsia="es-CO"/>
        </w:rPr>
        <w:t xml:space="preserve"> y/o </w:t>
      </w:r>
      <w:r w:rsidRPr="00853E07">
        <w:rPr>
          <w:noProof/>
          <w:lang w:val="es-CO" w:eastAsia="es-CO"/>
        </w:rPr>
        <w:t>iniciar si se considera</w:t>
      </w:r>
      <w:r>
        <w:rPr>
          <w:noProof/>
          <w:lang w:val="es-CO" w:eastAsia="es-CO"/>
        </w:rPr>
        <w:t xml:space="preserve"> procedente </w:t>
      </w:r>
      <w:r w:rsidRPr="00853E07">
        <w:rPr>
          <w:noProof/>
          <w:lang w:val="es-CO" w:eastAsia="es-CO"/>
        </w:rPr>
        <w:t>la Acción de Repetición.</w:t>
      </w:r>
      <w:r>
        <w:rPr>
          <w:noProof/>
          <w:lang w:val="es-CO" w:eastAsia="es-CO"/>
        </w:rPr>
        <w:t xml:space="preserve"> Para este efecto, la AN</w:t>
      </w:r>
      <w:r w:rsidRPr="00853E07">
        <w:rPr>
          <w:noProof/>
          <w:lang w:val="es-CO" w:eastAsia="es-CO"/>
        </w:rPr>
        <w:t xml:space="preserve">DJE expidió lineamientos para el ejercicio de la Acción de Repetición a fin de que las entidades adelanten el estudio de procedencia y  el ejercicio de la Acción de Repetición cuando proceda, en un plazo no superior a los seis (6) meses siguientes al pago total o al pago de la última cuota efectuado por la Entidad Pública y se exhorta a las entidades a incrementar esfuerzos para el aporte de pruebas conducentes que acrediten los requisitos de procedibilidad de la Acción de Repetición. </w:t>
      </w:r>
    </w:p>
    <w:p w14:paraId="2B0775AE" w14:textId="77777777" w:rsidR="003B41C3" w:rsidRPr="00853E07" w:rsidRDefault="003B41C3" w:rsidP="003B41C3">
      <w:pPr>
        <w:ind w:right="-283"/>
        <w:jc w:val="both"/>
        <w:rPr>
          <w:noProof/>
          <w:lang w:val="es-CO" w:eastAsia="es-CO"/>
        </w:rPr>
      </w:pPr>
      <w:r w:rsidRPr="00853E07">
        <w:rPr>
          <w:noProof/>
          <w:lang w:val="es-CO" w:eastAsia="es-CO"/>
        </w:rPr>
        <w:t xml:space="preserve">La Agencia participa en comités de conciliación de las 14 entidades con mayor registro de pago de sentencias y conciliaciones en el 2012. Estas entidades son: </w:t>
      </w:r>
    </w:p>
    <w:p w14:paraId="583A58C5"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Ministerio de Defensa</w:t>
      </w:r>
    </w:p>
    <w:p w14:paraId="516C5F1F"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CREMIL – Caja de Retiro Militar</w:t>
      </w:r>
    </w:p>
    <w:p w14:paraId="458A1522"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CASUR – Caja de Sueldos de la Policia</w:t>
      </w:r>
    </w:p>
    <w:p w14:paraId="5D599044"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DAS en proceso de supresión</w:t>
      </w:r>
    </w:p>
    <w:p w14:paraId="50007584"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Policía Nacional</w:t>
      </w:r>
    </w:p>
    <w:p w14:paraId="3CA9299C"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Fiscalía General de la Nación</w:t>
      </w:r>
    </w:p>
    <w:p w14:paraId="40AE2BA6"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lastRenderedPageBreak/>
        <w:t>INPEC</w:t>
      </w:r>
    </w:p>
    <w:p w14:paraId="74CD614F"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 xml:space="preserve">Ministerio de Educación. </w:t>
      </w:r>
    </w:p>
    <w:p w14:paraId="061B0405"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 xml:space="preserve">Ministerio de Transporte </w:t>
      </w:r>
    </w:p>
    <w:p w14:paraId="5575F215"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Agencia Nacional de Infraestructura</w:t>
      </w:r>
    </w:p>
    <w:p w14:paraId="28D4E74C"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Consejo Superior de la Judicatura</w:t>
      </w:r>
    </w:p>
    <w:p w14:paraId="0ABA1605"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Aeronáutica Civil</w:t>
      </w:r>
    </w:p>
    <w:p w14:paraId="1FEB7544"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INVIAS</w:t>
      </w:r>
    </w:p>
    <w:p w14:paraId="26FE7511" w14:textId="77777777" w:rsidR="003B41C3" w:rsidRPr="00853E07" w:rsidRDefault="003B41C3" w:rsidP="003B41C3">
      <w:pPr>
        <w:pStyle w:val="Prrafodelista"/>
        <w:numPr>
          <w:ilvl w:val="0"/>
          <w:numId w:val="62"/>
        </w:numPr>
        <w:rPr>
          <w:noProof/>
          <w:lang w:val="es-CO" w:eastAsia="es-CO"/>
        </w:rPr>
      </w:pPr>
      <w:r w:rsidRPr="00853E07">
        <w:rPr>
          <w:noProof/>
          <w:lang w:val="es-CO" w:eastAsia="es-CO"/>
        </w:rPr>
        <w:t>DIAN</w:t>
      </w:r>
    </w:p>
    <w:p w14:paraId="0ADDCBF8" w14:textId="77777777" w:rsidR="003B41C3" w:rsidRPr="00853E07" w:rsidRDefault="003B41C3" w:rsidP="003B41C3">
      <w:pPr>
        <w:ind w:right="-283"/>
        <w:jc w:val="both"/>
        <w:rPr>
          <w:b/>
          <w:noProof/>
          <w:lang w:val="es-CO" w:eastAsia="es-CO"/>
        </w:rPr>
      </w:pPr>
      <w:r w:rsidRPr="00853E07">
        <w:rPr>
          <w:noProof/>
          <w:lang w:val="es-CO" w:eastAsia="es-CO"/>
        </w:rPr>
        <w:t>Aunado a lo anterior, se  adelanta la recopilación de información en estas entidades para determinar si se han iniciado las  Acciones de Repetición correspondientes y en caso de no haberlo hecho examinar cuál fue la postura del Comite de Conciliación.  Posteriormente se realizará diagnóstico con el fin de establecer si hay lugar a intervención procesal, decisión que de acuerdo con el cronograma, se tomará en el mes de enero de 2014</w:t>
      </w:r>
      <w:r w:rsidRPr="00853E07">
        <w:rPr>
          <w:b/>
          <w:noProof/>
          <w:lang w:val="es-CO" w:eastAsia="es-CO"/>
        </w:rPr>
        <w:t xml:space="preserve">. </w:t>
      </w:r>
    </w:p>
    <w:p w14:paraId="79E6A4CF" w14:textId="77777777" w:rsidR="003B41C3" w:rsidRDefault="003B41C3" w:rsidP="003B41C3">
      <w:pPr>
        <w:ind w:right="-283"/>
        <w:jc w:val="both"/>
        <w:rPr>
          <w:noProof/>
          <w:lang w:val="es-CO" w:eastAsia="es-CO"/>
        </w:rPr>
      </w:pPr>
      <w:r>
        <w:rPr>
          <w:noProof/>
          <w:lang w:val="es-CO" w:eastAsia="es-CO"/>
        </w:rPr>
        <w:t>Finalmente, f</w:t>
      </w:r>
      <w:r w:rsidRPr="00853E07">
        <w:rPr>
          <w:noProof/>
          <w:lang w:val="es-CO" w:eastAsia="es-CO"/>
        </w:rPr>
        <w:t>rente a las  entidades públicas que pudieron haber perdido recursos públicos en la quiebra  de la Comisonista Interbolsa, se les ofició informando</w:t>
      </w:r>
      <w:r>
        <w:rPr>
          <w:noProof/>
          <w:lang w:val="es-CO" w:eastAsia="es-CO"/>
        </w:rPr>
        <w:t>:</w:t>
      </w:r>
      <w:r w:rsidRPr="00853E07">
        <w:rPr>
          <w:noProof/>
          <w:lang w:val="es-CO" w:eastAsia="es-CO"/>
        </w:rPr>
        <w:t xml:space="preserve"> i) La disposición de la Agencia para aunar esfuerzos con tales entidades con el fin de recuperar dichos dineros</w:t>
      </w:r>
      <w:r>
        <w:rPr>
          <w:noProof/>
          <w:lang w:val="es-CO" w:eastAsia="es-CO"/>
        </w:rPr>
        <w:t>,</w:t>
      </w:r>
      <w:r w:rsidRPr="00853E07">
        <w:rPr>
          <w:noProof/>
          <w:lang w:val="es-CO" w:eastAsia="es-CO"/>
        </w:rPr>
        <w:t xml:space="preserve"> ii) La disposición de la Agencia para agendar una reunión que tenga por objeto acordar una hoja de ruta sobre el particular. Estos oficios se enviaron a DIAN, ICBF, SENA, y FNG. </w:t>
      </w:r>
    </w:p>
    <w:p w14:paraId="204D907D" w14:textId="77777777" w:rsidR="003B41C3" w:rsidRPr="00AF11BE" w:rsidRDefault="003B41C3" w:rsidP="003B41C3">
      <w:pPr>
        <w:pStyle w:val="Prrafodelista"/>
        <w:numPr>
          <w:ilvl w:val="1"/>
          <w:numId w:val="66"/>
        </w:numPr>
        <w:ind w:right="-283"/>
        <w:jc w:val="both"/>
        <w:rPr>
          <w:b/>
          <w:noProof/>
          <w:lang w:val="es-CO" w:eastAsia="es-CO"/>
        </w:rPr>
      </w:pPr>
      <w:r w:rsidRPr="00AF11BE">
        <w:rPr>
          <w:b/>
          <w:noProof/>
          <w:lang w:val="es-CO" w:eastAsia="es-CO"/>
        </w:rPr>
        <w:t>Gestiones de Coordinación en temas neurálgicos.</w:t>
      </w:r>
    </w:p>
    <w:p w14:paraId="5AACC57A" w14:textId="77777777" w:rsidR="003B41C3" w:rsidRDefault="003B41C3" w:rsidP="003B41C3">
      <w:pPr>
        <w:ind w:right="-283"/>
        <w:jc w:val="both"/>
        <w:rPr>
          <w:noProof/>
          <w:lang w:val="es-CO" w:eastAsia="es-CO"/>
        </w:rPr>
      </w:pPr>
      <w:r w:rsidRPr="00E46994">
        <w:rPr>
          <w:noProof/>
          <w:lang w:val="es-CO" w:eastAsia="es-CO"/>
        </w:rPr>
        <w:t xml:space="preserve">En la actualidad la Agencia realiza labores de coordinación </w:t>
      </w:r>
      <w:r>
        <w:rPr>
          <w:noProof/>
          <w:lang w:val="es-CO" w:eastAsia="es-CO"/>
        </w:rPr>
        <w:t xml:space="preserve">de defensa </w:t>
      </w:r>
      <w:r w:rsidRPr="00E46994">
        <w:rPr>
          <w:noProof/>
          <w:lang w:val="es-CO" w:eastAsia="es-CO"/>
        </w:rPr>
        <w:t>en temas neurálgicos para el país</w:t>
      </w:r>
      <w:r>
        <w:rPr>
          <w:noProof/>
          <w:lang w:val="es-CO" w:eastAsia="es-CO"/>
        </w:rPr>
        <w:t>, como los siguientes:</w:t>
      </w:r>
    </w:p>
    <w:p w14:paraId="3120D0C2" w14:textId="77777777" w:rsidR="003B41C3" w:rsidRPr="00AF11BE" w:rsidRDefault="003B41C3" w:rsidP="003B41C3">
      <w:pPr>
        <w:pStyle w:val="Prrafodelista"/>
        <w:numPr>
          <w:ilvl w:val="2"/>
          <w:numId w:val="66"/>
        </w:numPr>
        <w:ind w:right="-283"/>
        <w:jc w:val="both"/>
        <w:rPr>
          <w:noProof/>
          <w:lang w:val="es-CO" w:eastAsia="es-CO"/>
        </w:rPr>
      </w:pPr>
      <w:r w:rsidRPr="00AF11BE">
        <w:rPr>
          <w:b/>
          <w:lang w:val="es-CO" w:eastAsia="es-CO"/>
        </w:rPr>
        <w:t>Problemática Pensional</w:t>
      </w:r>
      <w:r w:rsidRPr="00AF11BE">
        <w:rPr>
          <w:lang w:val="es-CO" w:eastAsia="es-CO"/>
        </w:rPr>
        <w:t>.</w:t>
      </w:r>
    </w:p>
    <w:p w14:paraId="52F56A7B" w14:textId="77777777" w:rsidR="003B41C3" w:rsidRPr="00E46994" w:rsidRDefault="003B41C3" w:rsidP="003B41C3">
      <w:pPr>
        <w:ind w:right="-283"/>
        <w:jc w:val="both"/>
        <w:rPr>
          <w:noProof/>
          <w:lang w:val="es-CO" w:eastAsia="es-CO"/>
        </w:rPr>
      </w:pPr>
      <w:r w:rsidRPr="00E46994">
        <w:rPr>
          <w:lang w:val="es-CO" w:eastAsia="es-CO"/>
        </w:rPr>
        <w:t>La Comisión Intersectorial del Régimen de Prima Media con Prestación Definida fue creada por el Decreto 2380 de 2012 en cumplimiento de lo establecido en el artículo 4 del Decreto Ley 169 de 2008,  con el objeto de fijar los criterios unificados de interpretación de las normas relacionadas con ese régimen pensional y que, por tanto, han de ser atendidas por sus diferentes entidades reconocedoras y administradoras. En ella  tienen asiento, como miembros, los Ministros de Trabajo, de Salud y Protección Social, de Hacienda y Crédito Público, la Directora General de la UGPP y el Presidente de COLPENSIONES, o sus delegados y, como invitada permanente, la Directora de la Agencia Nacional de Defensa Jurídica del Estado</w:t>
      </w:r>
      <w:r w:rsidRPr="00E46994">
        <w:rPr>
          <w:noProof/>
          <w:lang w:val="es-CO" w:eastAsia="es-CO"/>
        </w:rPr>
        <w:t xml:space="preserve"> o su delegado. </w:t>
      </w:r>
    </w:p>
    <w:p w14:paraId="2C02DFE1" w14:textId="77777777" w:rsidR="003B41C3" w:rsidRDefault="003B41C3" w:rsidP="003B41C3">
      <w:pPr>
        <w:ind w:right="-283"/>
        <w:jc w:val="both"/>
        <w:rPr>
          <w:b/>
          <w:noProof/>
          <w:lang w:val="es-CO" w:eastAsia="es-CO"/>
        </w:rPr>
      </w:pPr>
      <w:r w:rsidRPr="00164381">
        <w:rPr>
          <w:noProof/>
          <w:lang w:val="es-CO" w:eastAsia="es-CO"/>
        </w:rPr>
        <w:t xml:space="preserve">La Agencia, a través de la Dirección de Defensa Jurídica, ha tenido un papel activo en los asuntos estudiados y discutidos por la Comisión. No sólo ha participado en las sesiones de la Comisión, sino que además, participa en la subcomisión técnica, integrada por asesores y directores, en el marco de la cual se estudian de manera periódica las diferentes problemáticas que se derivan de la normativa pensional y decisiones judiciales </w:t>
      </w:r>
      <w:r w:rsidRPr="00164381">
        <w:rPr>
          <w:noProof/>
          <w:lang w:val="es-CO" w:eastAsia="es-CO"/>
        </w:rPr>
        <w:lastRenderedPageBreak/>
        <w:t>relacionadas, con el objeto de presentar recomendaciones a la Comisión sobre los lineamientos a ser aprobados. Es una labor cardinal para lograr la articulación del Gobierno Nacional en el tema pensional dada la alta litigiosidad que le causa al Estado</w:t>
      </w:r>
      <w:r w:rsidRPr="007F15E3">
        <w:rPr>
          <w:b/>
          <w:noProof/>
          <w:lang w:val="es-CO" w:eastAsia="es-CO"/>
        </w:rPr>
        <w:t>.</w:t>
      </w:r>
    </w:p>
    <w:p w14:paraId="0553837F" w14:textId="77777777" w:rsidR="003B41C3" w:rsidRPr="00A378FD" w:rsidRDefault="003B41C3" w:rsidP="003B41C3">
      <w:pPr>
        <w:pStyle w:val="Prrafodelista"/>
        <w:numPr>
          <w:ilvl w:val="2"/>
          <w:numId w:val="66"/>
        </w:numPr>
        <w:ind w:right="-283"/>
        <w:jc w:val="both"/>
        <w:rPr>
          <w:noProof/>
          <w:lang w:val="es-CO" w:eastAsia="es-CO"/>
        </w:rPr>
      </w:pPr>
      <w:r w:rsidRPr="00A378FD">
        <w:rPr>
          <w:b/>
          <w:noProof/>
          <w:lang w:val="es-CO" w:eastAsia="es-CO"/>
        </w:rPr>
        <w:t xml:space="preserve">Procesos Ejecutivos - Colpensiones. </w:t>
      </w:r>
    </w:p>
    <w:p w14:paraId="6FE860EC" w14:textId="77777777" w:rsidR="003B41C3" w:rsidRPr="00E46994" w:rsidRDefault="003B41C3" w:rsidP="003B41C3">
      <w:pPr>
        <w:ind w:right="-283"/>
        <w:jc w:val="both"/>
        <w:rPr>
          <w:noProof/>
          <w:lang w:val="es-CO" w:eastAsia="es-CO"/>
        </w:rPr>
      </w:pPr>
      <w:r w:rsidRPr="00E46994">
        <w:rPr>
          <w:noProof/>
          <w:lang w:val="es-CO" w:eastAsia="es-CO"/>
        </w:rPr>
        <w:t>La ANDJE en desarrollo del Acuerdo 007 de 2012 y en su función de Coordinador Interinstitucional establecido en el artículo primero del mencionado Acuerdo, para la formulación de una estrategia de defensa estatal ante los Comités de Conciliación de Instituto de Seguros Sociales en Liquidación y la Administradora Colombiana de Pensiones –COLPENSIONES-, con el propósito de buscar alternativas administrativas y procesales para finiquitar los procesos ejecutivos de sentencias judiciales que se tramitan en la actualidad ante los diferentes despachos judiciales del país, así como para evitar preventivamente el trámite de frutos conflictos derivados de la ejecución de sentencias judiciales en temas pensionales o de la seguridad social que se pudieren instaurar a futuro, ha venido realizando mesas de trabajo conjuntamente con el I.S.S. en Liquidación, COLPENSIONES y el acompañamiento de la Procuraduría General de la Nación, para hacer el seguimiento en el cumplimiento de este Acuerdo.</w:t>
      </w:r>
    </w:p>
    <w:p w14:paraId="40DB2A02" w14:textId="77777777" w:rsidR="003B41C3" w:rsidRPr="00164381" w:rsidRDefault="003B41C3" w:rsidP="003B41C3">
      <w:pPr>
        <w:ind w:right="-283"/>
        <w:jc w:val="both"/>
        <w:rPr>
          <w:noProof/>
          <w:lang w:val="es-CO" w:eastAsia="es-CO"/>
        </w:rPr>
      </w:pPr>
      <w:r w:rsidRPr="00164381">
        <w:rPr>
          <w:noProof/>
          <w:lang w:val="es-CO" w:eastAsia="es-CO"/>
        </w:rPr>
        <w:t>Es importante mencionar que el Acuerdo 007 toca dos puntos sensibles que llaman la atención a la Agencia, puesto que además de generar gran incertidumbre en el reconocimiento de un derecho de miles de Colombianos, impactan gravemente las finanzas de la Nación:</w:t>
      </w:r>
    </w:p>
    <w:p w14:paraId="32E75456" w14:textId="77777777" w:rsidR="003B41C3" w:rsidRPr="00E46994" w:rsidRDefault="003B41C3" w:rsidP="003B41C3">
      <w:pPr>
        <w:pStyle w:val="Prrafodelista"/>
        <w:numPr>
          <w:ilvl w:val="3"/>
          <w:numId w:val="66"/>
        </w:numPr>
        <w:ind w:right="-283"/>
        <w:jc w:val="both"/>
        <w:rPr>
          <w:b/>
          <w:noProof/>
          <w:lang w:val="es-CO" w:eastAsia="es-CO"/>
        </w:rPr>
      </w:pPr>
      <w:r w:rsidRPr="00E46994">
        <w:rPr>
          <w:b/>
          <w:noProof/>
          <w:lang w:val="es-CO" w:eastAsia="es-CO"/>
        </w:rPr>
        <w:t>Pago de sentencias ejecutivas ejecutoriadas por parte de COLPENSIONES:</w:t>
      </w:r>
    </w:p>
    <w:p w14:paraId="6F9B3743" w14:textId="77777777" w:rsidR="003B41C3" w:rsidRPr="00E46994" w:rsidRDefault="003B41C3" w:rsidP="003B41C3">
      <w:pPr>
        <w:ind w:right="-283"/>
        <w:jc w:val="both"/>
        <w:rPr>
          <w:noProof/>
          <w:lang w:val="es-CO" w:eastAsia="es-CO"/>
        </w:rPr>
      </w:pPr>
      <w:r w:rsidRPr="00E46994">
        <w:rPr>
          <w:noProof/>
          <w:lang w:val="es-CO" w:eastAsia="es-CO"/>
        </w:rPr>
        <w:t>Al día de hoy no tenemos claro el universo de sentencias ejecutivas ejecutoriadas, puesto que desde principios de año, se había concretado un total de 11.400 sentencias ejecutivas y al parecer según lo manifestado por COLPENSIONES, están pendientes de validar un número aproximado de 8.600, que aumentaría el universo establecido inicialmente a un gran total aproximado de 20.000 sentencias ejecutivas de las cuales al 23 de septiembre</w:t>
      </w:r>
      <w:r>
        <w:rPr>
          <w:noProof/>
          <w:lang w:val="es-CO" w:eastAsia="es-CO"/>
        </w:rPr>
        <w:t xml:space="preserve"> de 2013</w:t>
      </w:r>
      <w:r w:rsidRPr="00E46994">
        <w:rPr>
          <w:noProof/>
          <w:lang w:val="es-CO" w:eastAsia="es-CO"/>
        </w:rPr>
        <w:t xml:space="preserve"> se informó que se han cumplido 2</w:t>
      </w:r>
      <w:r>
        <w:rPr>
          <w:noProof/>
          <w:lang w:val="es-CO" w:eastAsia="es-CO"/>
        </w:rPr>
        <w:t>.</w:t>
      </w:r>
      <w:r w:rsidRPr="00E46994">
        <w:rPr>
          <w:noProof/>
          <w:lang w:val="es-CO" w:eastAsia="es-CO"/>
        </w:rPr>
        <w:t xml:space="preserve">616 sentencias ejecutivas. Se considera importante seguir en el acompañamiento que la ANDJE ha venido realizando a Colpensiones, para que en cumplimiento del Auto de la Corte Constitucional se realice el pago de estas sentencias. </w:t>
      </w:r>
    </w:p>
    <w:p w14:paraId="30A4053E" w14:textId="77777777" w:rsidR="003B41C3" w:rsidRPr="00E46994" w:rsidRDefault="003B41C3" w:rsidP="003B41C3">
      <w:pPr>
        <w:pStyle w:val="Prrafodelista"/>
        <w:numPr>
          <w:ilvl w:val="3"/>
          <w:numId w:val="66"/>
        </w:numPr>
        <w:ind w:right="-283"/>
        <w:jc w:val="both"/>
        <w:rPr>
          <w:b/>
          <w:noProof/>
          <w:lang w:val="es-CO" w:eastAsia="es-CO"/>
        </w:rPr>
      </w:pPr>
      <w:r w:rsidRPr="00E46994">
        <w:rPr>
          <w:b/>
          <w:noProof/>
          <w:lang w:val="es-CO" w:eastAsia="es-CO"/>
        </w:rPr>
        <w:t>Cumplimiento Acuerdo 007 de 2012:</w:t>
      </w:r>
    </w:p>
    <w:p w14:paraId="1F69F7C3" w14:textId="77777777" w:rsidR="003B41C3" w:rsidRDefault="003B41C3" w:rsidP="003B41C3">
      <w:pPr>
        <w:ind w:right="-283"/>
        <w:jc w:val="both"/>
        <w:rPr>
          <w:noProof/>
          <w:lang w:val="es-CO" w:eastAsia="es-CO"/>
        </w:rPr>
      </w:pPr>
      <w:r w:rsidRPr="00E46994">
        <w:rPr>
          <w:noProof/>
          <w:lang w:val="es-CO" w:eastAsia="es-CO"/>
        </w:rPr>
        <w:t xml:space="preserve">La Dirección de Defensa Jurídica para estudiar el estado de los procesos reseñados en el </w:t>
      </w:r>
      <w:r>
        <w:rPr>
          <w:noProof/>
          <w:lang w:val="es-CO" w:eastAsia="es-CO"/>
        </w:rPr>
        <w:t>A</w:t>
      </w:r>
      <w:r w:rsidRPr="00E46994">
        <w:rPr>
          <w:noProof/>
          <w:lang w:val="es-CO" w:eastAsia="es-CO"/>
        </w:rPr>
        <w:t>cuerdo 007, tomó una muestra representativa con el 5.1% de error y el 95% de confianza, después de realizar la transformación del archivo del Acuerdo 007 a Excel y realizar el cruce con la base de Litigob con corte a mayo de 2013, en donde se encontraron 4</w:t>
      </w:r>
      <w:r>
        <w:rPr>
          <w:noProof/>
          <w:lang w:val="es-CO" w:eastAsia="es-CO"/>
        </w:rPr>
        <w:t>.</w:t>
      </w:r>
      <w:r w:rsidRPr="00E46994">
        <w:rPr>
          <w:noProof/>
          <w:lang w:val="es-CO" w:eastAsia="es-CO"/>
        </w:rPr>
        <w:t xml:space="preserve">226 registros. Posteriormente se realizó una revisión preliminar de los procesos con el Sistema </w:t>
      </w:r>
      <w:r w:rsidRPr="00E46994">
        <w:rPr>
          <w:noProof/>
          <w:lang w:val="es-CO" w:eastAsia="es-CO"/>
        </w:rPr>
        <w:lastRenderedPageBreak/>
        <w:t>Siglo XXI de la Rama Judicial y se encontró que más de la mitad de los mismos se encuentran archivados y/o pagados.</w:t>
      </w:r>
    </w:p>
    <w:p w14:paraId="3F52BE52" w14:textId="77777777" w:rsidR="003B41C3" w:rsidRPr="00164381" w:rsidRDefault="003B41C3" w:rsidP="003B41C3">
      <w:pPr>
        <w:ind w:right="-283"/>
        <w:jc w:val="both"/>
        <w:rPr>
          <w:noProof/>
          <w:lang w:val="es-CO" w:eastAsia="es-CO"/>
        </w:rPr>
      </w:pPr>
      <w:r w:rsidRPr="00164381">
        <w:rPr>
          <w:noProof/>
          <w:lang w:val="es-CO" w:eastAsia="es-CO"/>
        </w:rPr>
        <w:t xml:space="preserve">El resultado obtenido de nuestra muestra aleatoria fue de 338 procesos para revisar en las siguientes ciudades: Medellín, Cali, Bogotá, Ibagué, Pereira, Armenia, Manizales, Pasto, Palmira, Montería, Cúcuta, Bucaramanga, Santa Marta y Valledupar, para lo cual esta Dirección contrató a dos personas capacitadas para recoger la información en una ficha técnica realizada por la DDJ, en </w:t>
      </w:r>
      <w:r>
        <w:rPr>
          <w:noProof/>
          <w:lang w:val="es-CO" w:eastAsia="es-CO"/>
        </w:rPr>
        <w:t xml:space="preserve">la cual </w:t>
      </w:r>
      <w:r w:rsidRPr="00164381">
        <w:rPr>
          <w:noProof/>
          <w:lang w:val="es-CO" w:eastAsia="es-CO"/>
        </w:rPr>
        <w:t>se consignaron los datos específicos de cada proceso ejecutivo.</w:t>
      </w:r>
    </w:p>
    <w:p w14:paraId="645C1865" w14:textId="77777777" w:rsidR="003B41C3" w:rsidRDefault="003B41C3" w:rsidP="003B41C3">
      <w:pPr>
        <w:ind w:right="-283"/>
        <w:jc w:val="both"/>
        <w:rPr>
          <w:b/>
          <w:noProof/>
          <w:lang w:val="es-CO" w:eastAsia="es-CO"/>
        </w:rPr>
      </w:pPr>
      <w:r w:rsidRPr="00164381">
        <w:rPr>
          <w:noProof/>
          <w:lang w:val="es-CO" w:eastAsia="es-CO"/>
        </w:rPr>
        <w:t>Teniendo en cuenta el anterior resultado, la Agencia prepara un instructivo de líneas de defensa para entregar a COLPENSIONES y con esto finiquitar el cumplimiento del Acuerdo 007 de 2012</w:t>
      </w:r>
      <w:r>
        <w:rPr>
          <w:noProof/>
          <w:lang w:val="es-CO" w:eastAsia="es-CO"/>
        </w:rPr>
        <w:t>.</w:t>
      </w:r>
      <w:r w:rsidRPr="007F15E3">
        <w:rPr>
          <w:b/>
          <w:noProof/>
          <w:lang w:val="es-CO" w:eastAsia="es-CO"/>
        </w:rPr>
        <w:t xml:space="preserve"> </w:t>
      </w:r>
    </w:p>
    <w:p w14:paraId="3C20B4E8" w14:textId="77777777" w:rsidR="003B41C3" w:rsidRPr="007F15E3" w:rsidRDefault="003B41C3" w:rsidP="003B41C3">
      <w:pPr>
        <w:ind w:right="-283"/>
        <w:jc w:val="both"/>
        <w:rPr>
          <w:b/>
          <w:noProof/>
          <w:lang w:val="es-CO" w:eastAsia="es-CO"/>
        </w:rPr>
      </w:pPr>
    </w:p>
    <w:p w14:paraId="4DC8F66E" w14:textId="77777777" w:rsidR="003B41C3" w:rsidRPr="00B601E5" w:rsidRDefault="003B41C3" w:rsidP="003B41C3">
      <w:pPr>
        <w:pStyle w:val="Prrafodelista"/>
        <w:numPr>
          <w:ilvl w:val="2"/>
          <w:numId w:val="66"/>
        </w:numPr>
        <w:ind w:right="-283"/>
        <w:jc w:val="both"/>
        <w:rPr>
          <w:noProof/>
          <w:lang w:val="es-CO" w:eastAsia="es-CO"/>
        </w:rPr>
      </w:pPr>
      <w:r w:rsidRPr="00B601E5">
        <w:rPr>
          <w:b/>
          <w:noProof/>
          <w:lang w:val="es-CO" w:eastAsia="es-CO"/>
        </w:rPr>
        <w:t>Captación Ilegal de Dineros.-</w:t>
      </w:r>
    </w:p>
    <w:p w14:paraId="31A2C51C" w14:textId="77777777" w:rsidR="003B41C3" w:rsidRDefault="003B41C3" w:rsidP="003B41C3">
      <w:pPr>
        <w:ind w:right="-283"/>
        <w:jc w:val="both"/>
        <w:rPr>
          <w:noProof/>
          <w:lang w:val="es-CO" w:eastAsia="es-CO"/>
        </w:rPr>
      </w:pPr>
      <w:r w:rsidRPr="00E46994">
        <w:rPr>
          <w:noProof/>
          <w:lang w:val="es-CO" w:eastAsia="es-CO"/>
        </w:rPr>
        <w:t xml:space="preserve">Como fue señalado, la Agencia a través de una Mesa Interinstitucional coordina el ejercicio de una defensa coherente del Estado en virtud de las múltiples demandas (cerca de 700) interpuestas en contra de diversas entidades del Estado, con ocasión del fenómeno de las pirámides. Se ha logrado que el Consejo de Estado ordene en varios procesos la “integración del grupo” en un solo proceso que cursa en el Juzgado 2º Administrativo de Popayán.  Se espera como resultado de esta estrategia facilitar el ejercicio de la defensa de las entidades, evitar sentencias contradictorias y generar un ahorro en la gestión de la defensa en aproximadamente </w:t>
      </w:r>
      <w:r>
        <w:rPr>
          <w:noProof/>
          <w:lang w:val="es-CO" w:eastAsia="es-CO"/>
        </w:rPr>
        <w:t>$</w:t>
      </w:r>
      <w:r w:rsidRPr="00E46994">
        <w:rPr>
          <w:noProof/>
          <w:lang w:val="es-CO" w:eastAsia="es-CO"/>
        </w:rPr>
        <w:t xml:space="preserve">1.000 millones de pesos. </w:t>
      </w:r>
    </w:p>
    <w:p w14:paraId="4C709345" w14:textId="77777777" w:rsidR="003B41C3" w:rsidRPr="00E46994" w:rsidRDefault="003B41C3" w:rsidP="003B41C3">
      <w:pPr>
        <w:ind w:right="-283"/>
        <w:jc w:val="both"/>
        <w:rPr>
          <w:noProof/>
          <w:lang w:val="es-CO" w:eastAsia="es-CO"/>
        </w:rPr>
      </w:pPr>
    </w:p>
    <w:p w14:paraId="15CE9E94" w14:textId="77777777" w:rsidR="003B41C3" w:rsidRPr="00343957" w:rsidRDefault="003B41C3" w:rsidP="003B41C3">
      <w:pPr>
        <w:pStyle w:val="Prrafodelista"/>
        <w:numPr>
          <w:ilvl w:val="2"/>
          <w:numId w:val="66"/>
        </w:numPr>
        <w:ind w:right="-283"/>
        <w:jc w:val="both"/>
        <w:rPr>
          <w:noProof/>
          <w:lang w:val="es-CO" w:eastAsia="es-CO"/>
        </w:rPr>
      </w:pPr>
      <w:r w:rsidRPr="00343957">
        <w:rPr>
          <w:b/>
          <w:noProof/>
          <w:lang w:val="es-CO" w:eastAsia="es-CO"/>
        </w:rPr>
        <w:t>CAJANAL - Uso Abusivo de Beneficios Propios del Régimen de Transición.-</w:t>
      </w:r>
    </w:p>
    <w:p w14:paraId="32A64572" w14:textId="77777777" w:rsidR="003B41C3" w:rsidRPr="00E46994" w:rsidRDefault="003B41C3" w:rsidP="003B41C3">
      <w:pPr>
        <w:ind w:right="-283"/>
        <w:jc w:val="both"/>
        <w:rPr>
          <w:noProof/>
          <w:lang w:val="es-CO" w:eastAsia="es-CO"/>
        </w:rPr>
      </w:pPr>
      <w:r w:rsidRPr="00E46994">
        <w:rPr>
          <w:noProof/>
          <w:lang w:val="es-CO" w:eastAsia="es-CO"/>
        </w:rPr>
        <w:t>Mesas de trabajo con CAJANAL y la UGPP definiendo la estrategia jurídica a seguir para la recuperación de recursos en varios casos tipo de ejercicio abusivo del derecho en régimen especial. Se encuentra en trámite la suscripción de un convenio interadministrativo por el cual la Agencia asume la representación judicial en las acciones judiciales pertinentes.</w:t>
      </w:r>
    </w:p>
    <w:p w14:paraId="2FC2EA4D" w14:textId="77777777" w:rsidR="003B41C3" w:rsidRPr="00164381" w:rsidRDefault="003B41C3" w:rsidP="003B41C3">
      <w:pPr>
        <w:pStyle w:val="Prrafodelista"/>
        <w:ind w:left="360" w:right="-283"/>
        <w:rPr>
          <w:noProof/>
          <w:lang w:val="es-CO" w:eastAsia="es-CO"/>
        </w:rPr>
      </w:pPr>
    </w:p>
    <w:p w14:paraId="63A3552D" w14:textId="77777777" w:rsidR="003B41C3" w:rsidRPr="001F0049" w:rsidRDefault="003B41C3" w:rsidP="003B41C3">
      <w:pPr>
        <w:pStyle w:val="Prrafodelista"/>
        <w:numPr>
          <w:ilvl w:val="2"/>
          <w:numId w:val="66"/>
        </w:numPr>
        <w:ind w:right="-283"/>
        <w:jc w:val="both"/>
        <w:rPr>
          <w:noProof/>
          <w:lang w:val="es-CO" w:eastAsia="es-CO"/>
        </w:rPr>
      </w:pPr>
      <w:r w:rsidRPr="001F0049">
        <w:rPr>
          <w:b/>
          <w:noProof/>
          <w:lang w:val="es-CO" w:eastAsia="es-CO"/>
        </w:rPr>
        <w:t>Prima de Servicios Docentes -  Ministerio de Educación.</w:t>
      </w:r>
    </w:p>
    <w:p w14:paraId="0C078AF3" w14:textId="77777777" w:rsidR="003B41C3" w:rsidRPr="001F0049" w:rsidRDefault="003B41C3" w:rsidP="003B41C3">
      <w:pPr>
        <w:ind w:right="-283"/>
        <w:jc w:val="both"/>
        <w:rPr>
          <w:noProof/>
          <w:lang w:val="es-CO" w:eastAsia="es-CO"/>
        </w:rPr>
      </w:pPr>
      <w:r w:rsidRPr="001F0049">
        <w:rPr>
          <w:noProof/>
          <w:lang w:val="es-CO" w:eastAsia="es-CO"/>
        </w:rPr>
        <w:t>Se trabaja con el Ministerio de Educación para la atención de la problemática judicial derivada de la prima de servicio de docentes cuyo reconocimiento ha sido solicitado por FECODE.</w:t>
      </w:r>
    </w:p>
    <w:p w14:paraId="186A3976" w14:textId="77777777" w:rsidR="003B41C3" w:rsidRPr="001F0049" w:rsidRDefault="003B41C3" w:rsidP="003B41C3">
      <w:pPr>
        <w:ind w:right="-283"/>
        <w:jc w:val="both"/>
        <w:rPr>
          <w:noProof/>
          <w:lang w:val="es-CO" w:eastAsia="es-CO"/>
        </w:rPr>
      </w:pPr>
      <w:r w:rsidRPr="001F0049">
        <w:rPr>
          <w:noProof/>
          <w:lang w:val="es-CO" w:eastAsia="es-CO"/>
        </w:rPr>
        <w:lastRenderedPageBreak/>
        <w:t xml:space="preserve">En cuanto a la prima de servicios es importante mencionar que desde principios de año se han sostenido reuniones y ha existido cruce de información con el </w:t>
      </w:r>
      <w:r w:rsidR="001F0049" w:rsidRPr="001F0049">
        <w:rPr>
          <w:noProof/>
          <w:lang w:val="es-CO" w:eastAsia="es-CO"/>
        </w:rPr>
        <w:t>Ministerio de Educación</w:t>
      </w:r>
      <w:r w:rsidRPr="001F0049">
        <w:rPr>
          <w:noProof/>
          <w:lang w:val="es-CO" w:eastAsia="es-CO"/>
        </w:rPr>
        <w:t>, para el estudio del reconocimiento de la prima de servicios a los docentes.</w:t>
      </w:r>
    </w:p>
    <w:p w14:paraId="3E2B2BA6" w14:textId="77777777" w:rsidR="003B41C3" w:rsidRPr="00164381" w:rsidRDefault="003B41C3" w:rsidP="003B41C3">
      <w:pPr>
        <w:ind w:right="-283"/>
        <w:jc w:val="both"/>
        <w:rPr>
          <w:noProof/>
          <w:lang w:val="es-CO" w:eastAsia="es-CO"/>
        </w:rPr>
      </w:pPr>
      <w:r w:rsidRPr="001F0049">
        <w:rPr>
          <w:noProof/>
          <w:lang w:val="es-CO" w:eastAsia="es-CO"/>
        </w:rPr>
        <w:t>La Agencia ha solicitado insistentemente al Ministerio de Educación el</w:t>
      </w:r>
      <w:r w:rsidRPr="00164381">
        <w:rPr>
          <w:noProof/>
          <w:lang w:val="es-CO" w:eastAsia="es-CO"/>
        </w:rPr>
        <w:t xml:space="preserve"> mapa de procesos judiciales a nivel nacional en donde se reporte la existencia de estos procesos así como de la línea jurisprudencial respecto del tema, puesto que </w:t>
      </w:r>
      <w:r>
        <w:rPr>
          <w:noProof/>
          <w:lang w:val="es-CO" w:eastAsia="es-CO"/>
        </w:rPr>
        <w:t>se</w:t>
      </w:r>
      <w:r w:rsidRPr="00164381">
        <w:rPr>
          <w:noProof/>
          <w:lang w:val="es-CO" w:eastAsia="es-CO"/>
        </w:rPr>
        <w:t xml:space="preserve"> observa que el reconocimiento de este derecho ha sido focalizado </w:t>
      </w:r>
      <w:r>
        <w:rPr>
          <w:noProof/>
          <w:lang w:val="es-CO" w:eastAsia="es-CO"/>
        </w:rPr>
        <w:t xml:space="preserve">en los Departamentos de </w:t>
      </w:r>
      <w:r w:rsidRPr="00164381">
        <w:rPr>
          <w:noProof/>
          <w:lang w:val="es-CO" w:eastAsia="es-CO"/>
        </w:rPr>
        <w:t>Quindío</w:t>
      </w:r>
      <w:r>
        <w:rPr>
          <w:noProof/>
          <w:lang w:val="es-CO" w:eastAsia="es-CO"/>
        </w:rPr>
        <w:t xml:space="preserve"> y</w:t>
      </w:r>
      <w:r w:rsidRPr="00164381">
        <w:rPr>
          <w:noProof/>
          <w:lang w:val="es-CO" w:eastAsia="es-CO"/>
        </w:rPr>
        <w:t xml:space="preserve"> Sucre.  Hasta el día de hoy no existe un consolidado nacional de esta información y s</w:t>
      </w:r>
      <w:r>
        <w:rPr>
          <w:noProof/>
          <w:lang w:val="es-CO" w:eastAsia="es-CO"/>
        </w:rPr>
        <w:t>e es</w:t>
      </w:r>
      <w:r w:rsidRPr="00164381">
        <w:rPr>
          <w:noProof/>
          <w:lang w:val="es-CO" w:eastAsia="es-CO"/>
        </w:rPr>
        <w:t>t</w:t>
      </w:r>
      <w:r>
        <w:rPr>
          <w:noProof/>
          <w:lang w:val="es-CO" w:eastAsia="es-CO"/>
        </w:rPr>
        <w:t>á</w:t>
      </w:r>
      <w:r w:rsidRPr="00164381">
        <w:rPr>
          <w:noProof/>
          <w:lang w:val="es-CO" w:eastAsia="es-CO"/>
        </w:rPr>
        <w:t xml:space="preserve"> a la espera de </w:t>
      </w:r>
      <w:r>
        <w:rPr>
          <w:noProof/>
          <w:lang w:val="es-CO" w:eastAsia="es-CO"/>
        </w:rPr>
        <w:t>tal información</w:t>
      </w:r>
      <w:r w:rsidRPr="00164381">
        <w:rPr>
          <w:noProof/>
          <w:lang w:val="es-CO" w:eastAsia="es-CO"/>
        </w:rPr>
        <w:t xml:space="preserve"> para  fijar líneas de defensa.</w:t>
      </w:r>
    </w:p>
    <w:p w14:paraId="19365999" w14:textId="77777777" w:rsidR="003B41C3" w:rsidRPr="00164381" w:rsidRDefault="003B41C3" w:rsidP="003B41C3">
      <w:pPr>
        <w:ind w:right="-283"/>
        <w:jc w:val="both"/>
        <w:rPr>
          <w:noProof/>
          <w:lang w:val="es-CO" w:eastAsia="es-CO"/>
        </w:rPr>
      </w:pPr>
      <w:r w:rsidRPr="00164381">
        <w:rPr>
          <w:noProof/>
          <w:lang w:val="es-CO" w:eastAsia="es-CO"/>
        </w:rPr>
        <w:t xml:space="preserve">La Agencia presentó al </w:t>
      </w:r>
      <w:r w:rsidR="001F0049" w:rsidRPr="001F0049">
        <w:rPr>
          <w:noProof/>
          <w:lang w:val="es-CO" w:eastAsia="es-CO"/>
        </w:rPr>
        <w:t>Ministerio de Educación</w:t>
      </w:r>
      <w:r w:rsidRPr="00164381">
        <w:rPr>
          <w:noProof/>
          <w:lang w:val="es-CO" w:eastAsia="es-CO"/>
        </w:rPr>
        <w:t xml:space="preserve"> el estudio de tres sentencia</w:t>
      </w:r>
      <w:r>
        <w:rPr>
          <w:noProof/>
          <w:lang w:val="es-CO" w:eastAsia="es-CO"/>
        </w:rPr>
        <w:t>s</w:t>
      </w:r>
      <w:r w:rsidRPr="00164381">
        <w:rPr>
          <w:noProof/>
          <w:lang w:val="es-CO" w:eastAsia="es-CO"/>
        </w:rPr>
        <w:t xml:space="preserve"> del </w:t>
      </w:r>
      <w:r>
        <w:rPr>
          <w:noProof/>
          <w:lang w:val="es-CO" w:eastAsia="es-CO"/>
        </w:rPr>
        <w:t>C</w:t>
      </w:r>
      <w:r w:rsidRPr="00164381">
        <w:rPr>
          <w:noProof/>
          <w:lang w:val="es-CO" w:eastAsia="es-CO"/>
        </w:rPr>
        <w:t xml:space="preserve">onsejo de </w:t>
      </w:r>
      <w:r>
        <w:rPr>
          <w:noProof/>
          <w:lang w:val="es-CO" w:eastAsia="es-CO"/>
        </w:rPr>
        <w:t>E</w:t>
      </w:r>
      <w:r w:rsidRPr="00164381">
        <w:rPr>
          <w:noProof/>
          <w:lang w:val="es-CO" w:eastAsia="es-CO"/>
        </w:rPr>
        <w:t xml:space="preserve">stado: una de ellas del Dr. Alejandro Ordoñez del 02 de noviembre de 2006 y  la otra del el Dr. Jaime Moreno García  del 03 de abril de 2008  en las </w:t>
      </w:r>
      <w:r>
        <w:rPr>
          <w:noProof/>
          <w:lang w:val="es-CO" w:eastAsia="es-CO"/>
        </w:rPr>
        <w:t>cuales</w:t>
      </w:r>
      <w:r w:rsidRPr="00164381">
        <w:rPr>
          <w:noProof/>
          <w:lang w:val="es-CO" w:eastAsia="es-CO"/>
        </w:rPr>
        <w:t xml:space="preserve"> se concluye que la prima de servicios establecida en el artículo 58 del </w:t>
      </w:r>
      <w:r>
        <w:rPr>
          <w:noProof/>
          <w:lang w:val="es-CO" w:eastAsia="es-CO"/>
        </w:rPr>
        <w:t>D</w:t>
      </w:r>
      <w:r w:rsidRPr="00164381">
        <w:rPr>
          <w:noProof/>
          <w:lang w:val="es-CO" w:eastAsia="es-CO"/>
        </w:rPr>
        <w:t xml:space="preserve">ecreto </w:t>
      </w:r>
      <w:r>
        <w:rPr>
          <w:noProof/>
          <w:lang w:val="es-CO" w:eastAsia="es-CO"/>
        </w:rPr>
        <w:t>L</w:t>
      </w:r>
      <w:r w:rsidRPr="00164381">
        <w:rPr>
          <w:noProof/>
          <w:lang w:val="es-CO" w:eastAsia="es-CO"/>
        </w:rPr>
        <w:t xml:space="preserve">ey 1042 de 1878 para los empleados públicos del orden nacional no es aplicable a los docentes nacionales, ya que el artículo 104 de ese mismo </w:t>
      </w:r>
      <w:r>
        <w:rPr>
          <w:noProof/>
          <w:lang w:val="es-CO" w:eastAsia="es-CO"/>
        </w:rPr>
        <w:t>D</w:t>
      </w:r>
      <w:r w:rsidRPr="00164381">
        <w:rPr>
          <w:noProof/>
          <w:lang w:val="es-CO" w:eastAsia="es-CO"/>
        </w:rPr>
        <w:t xml:space="preserve">ecreto </w:t>
      </w:r>
      <w:r>
        <w:rPr>
          <w:noProof/>
          <w:lang w:val="es-CO" w:eastAsia="es-CO"/>
        </w:rPr>
        <w:t>L</w:t>
      </w:r>
      <w:r w:rsidRPr="00164381">
        <w:rPr>
          <w:noProof/>
          <w:lang w:val="es-CO" w:eastAsia="es-CO"/>
        </w:rPr>
        <w:t>ey, los excluye y señala que su remuneración se establecerá en una normatividad especial que contiene el sistema salarial de los docentes.</w:t>
      </w:r>
    </w:p>
    <w:p w14:paraId="5517F156" w14:textId="77777777" w:rsidR="003B41C3" w:rsidRPr="00164381" w:rsidRDefault="003B41C3" w:rsidP="003B41C3">
      <w:pPr>
        <w:ind w:right="-283"/>
        <w:jc w:val="both"/>
        <w:rPr>
          <w:noProof/>
          <w:lang w:val="es-CO" w:eastAsia="es-CO"/>
        </w:rPr>
      </w:pPr>
      <w:r w:rsidRPr="00164381">
        <w:rPr>
          <w:noProof/>
          <w:lang w:val="es-CO" w:eastAsia="es-CO"/>
        </w:rPr>
        <w:t xml:space="preserve">La otra providencia  de la </w:t>
      </w:r>
      <w:r>
        <w:rPr>
          <w:noProof/>
          <w:lang w:val="es-CO" w:eastAsia="es-CO"/>
        </w:rPr>
        <w:t>S</w:t>
      </w:r>
      <w:r w:rsidRPr="00164381">
        <w:rPr>
          <w:noProof/>
          <w:lang w:val="es-CO" w:eastAsia="es-CO"/>
        </w:rPr>
        <w:t xml:space="preserve">ección </w:t>
      </w:r>
      <w:r>
        <w:rPr>
          <w:noProof/>
          <w:lang w:val="es-CO" w:eastAsia="es-CO"/>
        </w:rPr>
        <w:t>S</w:t>
      </w:r>
      <w:r w:rsidRPr="00164381">
        <w:rPr>
          <w:noProof/>
          <w:lang w:val="es-CO" w:eastAsia="es-CO"/>
        </w:rPr>
        <w:t>egunda</w:t>
      </w:r>
      <w:r>
        <w:rPr>
          <w:noProof/>
          <w:lang w:val="es-CO" w:eastAsia="es-CO"/>
        </w:rPr>
        <w:t xml:space="preserve"> del Consejo de Estado</w:t>
      </w:r>
      <w:r w:rsidRPr="00164381">
        <w:rPr>
          <w:noProof/>
          <w:lang w:val="es-CO" w:eastAsia="es-CO"/>
        </w:rPr>
        <w:t xml:space="preserve">, </w:t>
      </w:r>
      <w:r>
        <w:rPr>
          <w:noProof/>
          <w:lang w:val="es-CO" w:eastAsia="es-CO"/>
        </w:rPr>
        <w:t>S</w:t>
      </w:r>
      <w:r w:rsidRPr="00164381">
        <w:rPr>
          <w:noProof/>
          <w:lang w:val="es-CO" w:eastAsia="es-CO"/>
        </w:rPr>
        <w:t xml:space="preserve">ubsección </w:t>
      </w:r>
      <w:r>
        <w:rPr>
          <w:noProof/>
          <w:lang w:val="es-CO" w:eastAsia="es-CO"/>
        </w:rPr>
        <w:t>A</w:t>
      </w:r>
      <w:r w:rsidRPr="00164381">
        <w:rPr>
          <w:noProof/>
          <w:lang w:val="es-CO" w:eastAsia="es-CO"/>
        </w:rPr>
        <w:t xml:space="preserve">,  de 25 de marzo de 2010, del Dr. Gomez Aranguren analizó el posible reconocimiento de cesantías definitivas a una docente nacionalizada por parte del fondo de prestaciones del magisterio, a partir de la entrada en vigencia del </w:t>
      </w:r>
      <w:r>
        <w:rPr>
          <w:noProof/>
          <w:lang w:val="es-CO" w:eastAsia="es-CO"/>
        </w:rPr>
        <w:t>D</w:t>
      </w:r>
      <w:r w:rsidRPr="00164381">
        <w:rPr>
          <w:noProof/>
          <w:lang w:val="es-CO" w:eastAsia="es-CO"/>
        </w:rPr>
        <w:t>ecreto 1919 de 2002, en donde se estableció que los empleados públicos territoriales cuentan con el mismo régimen de prestaciones sociales establecido para los empleados públicos del orden nacional de la rama ejecutiva, de manera que la prima de servicios es factor salarial para la liquidación de cesantías de estos empleados.</w:t>
      </w:r>
    </w:p>
    <w:p w14:paraId="12925746" w14:textId="77777777" w:rsidR="003B41C3" w:rsidRPr="00164381" w:rsidRDefault="003B41C3" w:rsidP="003B41C3">
      <w:pPr>
        <w:ind w:right="-283"/>
        <w:jc w:val="both"/>
        <w:rPr>
          <w:noProof/>
          <w:lang w:val="es-CO" w:eastAsia="es-CO"/>
        </w:rPr>
      </w:pPr>
      <w:r w:rsidRPr="00164381">
        <w:rPr>
          <w:noProof/>
          <w:lang w:val="es-CO" w:eastAsia="es-CO"/>
        </w:rPr>
        <w:t>En escrito de fecha  18 de octubre de los cursantes, la agencia plante</w:t>
      </w:r>
      <w:r>
        <w:rPr>
          <w:noProof/>
          <w:lang w:val="es-CO" w:eastAsia="es-CO"/>
        </w:rPr>
        <w:t>ó</w:t>
      </w:r>
      <w:r w:rsidRPr="00164381">
        <w:rPr>
          <w:noProof/>
          <w:lang w:val="es-CO" w:eastAsia="es-CO"/>
        </w:rPr>
        <w:t xml:space="preserve"> recomendaciones y hallazgos respecto a  una información parcial enviada por parte del </w:t>
      </w:r>
      <w:r w:rsidR="001F0049" w:rsidRPr="001F0049">
        <w:rPr>
          <w:noProof/>
          <w:lang w:val="es-CO" w:eastAsia="es-CO"/>
        </w:rPr>
        <w:t>Ministerio de Educación</w:t>
      </w:r>
      <w:r w:rsidRPr="00164381">
        <w:rPr>
          <w:noProof/>
          <w:lang w:val="es-CO" w:eastAsia="es-CO"/>
        </w:rPr>
        <w:t xml:space="preserve"> a efectos de poder obtener el mapa de procesos judiciales a nivel nacional.</w:t>
      </w:r>
      <w:r>
        <w:rPr>
          <w:noProof/>
          <w:lang w:val="es-CO" w:eastAsia="es-CO"/>
        </w:rPr>
        <w:t xml:space="preserve"> Se está </w:t>
      </w:r>
      <w:r w:rsidRPr="00164381">
        <w:rPr>
          <w:noProof/>
          <w:lang w:val="es-CO" w:eastAsia="es-CO"/>
        </w:rPr>
        <w:t xml:space="preserve">a la espera del envío del consolidado de las entidades territoriales. </w:t>
      </w:r>
    </w:p>
    <w:p w14:paraId="132AC28B" w14:textId="77777777" w:rsidR="003B41C3" w:rsidRPr="00164381" w:rsidRDefault="003B41C3" w:rsidP="003B41C3">
      <w:pPr>
        <w:ind w:right="-283"/>
        <w:jc w:val="both"/>
        <w:rPr>
          <w:noProof/>
          <w:lang w:val="es-CO" w:eastAsia="es-CO"/>
        </w:rPr>
      </w:pPr>
      <w:r w:rsidRPr="00164381">
        <w:rPr>
          <w:noProof/>
          <w:lang w:val="es-CO" w:eastAsia="es-CO"/>
        </w:rPr>
        <w:t xml:space="preserve">Con los datos suministrados a la fecha resulta imposible para la agencia fijar lineamientos de defensa para el </w:t>
      </w:r>
      <w:r w:rsidRPr="001F0049">
        <w:rPr>
          <w:noProof/>
          <w:lang w:val="es-CO" w:eastAsia="es-CO"/>
        </w:rPr>
        <w:t>Ministerio de Educación</w:t>
      </w:r>
      <w:r w:rsidRPr="00164381">
        <w:rPr>
          <w:noProof/>
          <w:lang w:val="es-CO" w:eastAsia="es-CO"/>
        </w:rPr>
        <w:t xml:space="preserve"> porque ni siquiera </w:t>
      </w:r>
      <w:r>
        <w:rPr>
          <w:noProof/>
          <w:lang w:val="es-CO" w:eastAsia="es-CO"/>
        </w:rPr>
        <w:t xml:space="preserve">es posible estimar </w:t>
      </w:r>
      <w:r w:rsidRPr="00164381">
        <w:rPr>
          <w:noProof/>
          <w:lang w:val="es-CO" w:eastAsia="es-CO"/>
        </w:rPr>
        <w:t xml:space="preserve">el dato de lo que le podría costar </w:t>
      </w:r>
      <w:r>
        <w:rPr>
          <w:noProof/>
          <w:lang w:val="es-CO" w:eastAsia="es-CO"/>
        </w:rPr>
        <w:t>a</w:t>
      </w:r>
      <w:r w:rsidRPr="00164381">
        <w:rPr>
          <w:noProof/>
          <w:lang w:val="es-CO" w:eastAsia="es-CO"/>
        </w:rPr>
        <w:t xml:space="preserve">l </w:t>
      </w:r>
      <w:r>
        <w:rPr>
          <w:noProof/>
          <w:lang w:val="es-CO" w:eastAsia="es-CO"/>
        </w:rPr>
        <w:t>E</w:t>
      </w:r>
      <w:r w:rsidRPr="00164381">
        <w:rPr>
          <w:noProof/>
          <w:lang w:val="es-CO" w:eastAsia="es-CO"/>
        </w:rPr>
        <w:t xml:space="preserve">stado </w:t>
      </w:r>
      <w:r>
        <w:rPr>
          <w:noProof/>
          <w:lang w:val="es-CO" w:eastAsia="es-CO"/>
        </w:rPr>
        <w:t xml:space="preserve">el día </w:t>
      </w:r>
      <w:r w:rsidRPr="00164381">
        <w:rPr>
          <w:noProof/>
          <w:lang w:val="es-CO" w:eastAsia="es-CO"/>
        </w:rPr>
        <w:t>hoy esas demandas</w:t>
      </w:r>
      <w:r>
        <w:rPr>
          <w:noProof/>
          <w:lang w:val="es-CO" w:eastAsia="es-CO"/>
        </w:rPr>
        <w:t xml:space="preserve">, </w:t>
      </w:r>
      <w:r w:rsidRPr="00164381">
        <w:rPr>
          <w:noProof/>
          <w:lang w:val="es-CO" w:eastAsia="es-CO"/>
        </w:rPr>
        <w:t>menos</w:t>
      </w:r>
      <w:r>
        <w:rPr>
          <w:noProof/>
          <w:lang w:val="es-CO" w:eastAsia="es-CO"/>
        </w:rPr>
        <w:t xml:space="preserve"> aún d</w:t>
      </w:r>
      <w:r w:rsidRPr="00164381">
        <w:rPr>
          <w:noProof/>
          <w:lang w:val="es-CO" w:eastAsia="es-CO"/>
        </w:rPr>
        <w:t>eterminar cuánto se podría ahorrar</w:t>
      </w:r>
      <w:r>
        <w:rPr>
          <w:noProof/>
          <w:lang w:val="es-CO" w:eastAsia="es-CO"/>
        </w:rPr>
        <w:t xml:space="preserve"> el Estado</w:t>
      </w:r>
      <w:r w:rsidRPr="00164381">
        <w:rPr>
          <w:noProof/>
          <w:lang w:val="es-CO" w:eastAsia="es-CO"/>
        </w:rPr>
        <w:t xml:space="preserve"> en caso de una posible conciliación.</w:t>
      </w:r>
    </w:p>
    <w:p w14:paraId="6A76051E" w14:textId="77777777" w:rsidR="003B41C3" w:rsidRPr="00E46994" w:rsidRDefault="003B41C3" w:rsidP="003B41C3">
      <w:pPr>
        <w:pStyle w:val="Prrafodelista"/>
        <w:numPr>
          <w:ilvl w:val="2"/>
          <w:numId w:val="66"/>
        </w:numPr>
        <w:ind w:right="-283"/>
        <w:jc w:val="both"/>
        <w:rPr>
          <w:noProof/>
          <w:lang w:val="es-CO" w:eastAsia="es-CO"/>
        </w:rPr>
      </w:pPr>
      <w:r w:rsidRPr="00E46994">
        <w:rPr>
          <w:b/>
          <w:noProof/>
          <w:lang w:val="es-CO" w:eastAsia="es-CO"/>
        </w:rPr>
        <w:t>Ola Invernal en zona Canal del Dique</w:t>
      </w:r>
      <w:r>
        <w:rPr>
          <w:b/>
          <w:noProof/>
          <w:lang w:val="es-CO" w:eastAsia="es-CO"/>
        </w:rPr>
        <w:t>.-</w:t>
      </w:r>
    </w:p>
    <w:p w14:paraId="4CAF39B2" w14:textId="77777777" w:rsidR="003B41C3" w:rsidRPr="00E46994" w:rsidRDefault="003B41C3" w:rsidP="003B41C3">
      <w:pPr>
        <w:ind w:right="-283"/>
        <w:jc w:val="both"/>
        <w:rPr>
          <w:noProof/>
          <w:lang w:val="es-CO" w:eastAsia="es-CO"/>
        </w:rPr>
      </w:pPr>
      <w:r w:rsidRPr="00E46994">
        <w:rPr>
          <w:noProof/>
          <w:lang w:val="es-CO" w:eastAsia="es-CO"/>
        </w:rPr>
        <w:t xml:space="preserve">En la acción de grupo por la ruptura del Canal del Dique, la Agencia lidera una Mesa Interintitucional por medio de la cual se  coordina la estrategia de defensa de las entidades que han sido demandadas.  Los pleitos ascienden a </w:t>
      </w:r>
      <w:r>
        <w:rPr>
          <w:noProof/>
          <w:lang w:val="es-CO" w:eastAsia="es-CO"/>
        </w:rPr>
        <w:t>$</w:t>
      </w:r>
      <w:r w:rsidRPr="00E46994">
        <w:rPr>
          <w:noProof/>
          <w:lang w:val="es-CO" w:eastAsia="es-CO"/>
        </w:rPr>
        <w:t xml:space="preserve">7.4 </w:t>
      </w:r>
      <w:r>
        <w:rPr>
          <w:noProof/>
          <w:lang w:val="es-CO" w:eastAsia="es-CO"/>
        </w:rPr>
        <w:t>b</w:t>
      </w:r>
      <w:r w:rsidRPr="00E46994">
        <w:rPr>
          <w:noProof/>
          <w:lang w:val="es-CO" w:eastAsia="es-CO"/>
        </w:rPr>
        <w:t>illones.</w:t>
      </w:r>
    </w:p>
    <w:p w14:paraId="79454DC8" w14:textId="77777777" w:rsidR="003B41C3" w:rsidRPr="00343957" w:rsidRDefault="003B41C3" w:rsidP="003B41C3">
      <w:pPr>
        <w:pStyle w:val="Prrafodelista"/>
        <w:numPr>
          <w:ilvl w:val="2"/>
          <w:numId w:val="66"/>
        </w:numPr>
        <w:ind w:right="-283"/>
        <w:jc w:val="both"/>
        <w:rPr>
          <w:b/>
          <w:noProof/>
          <w:lang w:val="es-CO" w:eastAsia="es-CO"/>
        </w:rPr>
      </w:pPr>
      <w:r w:rsidRPr="00343957">
        <w:rPr>
          <w:b/>
          <w:bCs/>
          <w:noProof/>
          <w:lang w:val="es-CO" w:eastAsia="es-CO"/>
        </w:rPr>
        <w:lastRenderedPageBreak/>
        <w:t xml:space="preserve">IPC – </w:t>
      </w:r>
      <w:r w:rsidRPr="00343957">
        <w:rPr>
          <w:b/>
          <w:bCs/>
          <w:noProof/>
          <w:lang w:eastAsia="es-CO"/>
        </w:rPr>
        <w:t>Situación Salarial IPC Militares en Retiro.-</w:t>
      </w:r>
    </w:p>
    <w:p w14:paraId="72C5F5FA" w14:textId="77777777" w:rsidR="003B41C3" w:rsidRPr="00E46994" w:rsidRDefault="003B41C3" w:rsidP="003B41C3">
      <w:pPr>
        <w:ind w:right="-283"/>
        <w:jc w:val="both"/>
        <w:rPr>
          <w:noProof/>
          <w:lang w:val="es-CO" w:eastAsia="es-CO"/>
        </w:rPr>
      </w:pPr>
      <w:r>
        <w:rPr>
          <w:bCs/>
          <w:noProof/>
          <w:lang w:eastAsia="es-CO"/>
        </w:rPr>
        <w:t xml:space="preserve">Se coordina </w:t>
      </w:r>
      <w:r w:rsidRPr="00E46994">
        <w:rPr>
          <w:noProof/>
          <w:lang w:val="es-CO" w:eastAsia="es-CO"/>
        </w:rPr>
        <w:t>mesa interinstitucional con el Ministerio de Defensa Nacional, el Ministerio de Hacienda y Crédito Público, la Policía Nacional, CREMIL y CASUR</w:t>
      </w:r>
      <w:r>
        <w:rPr>
          <w:noProof/>
          <w:lang w:val="es-CO" w:eastAsia="es-CO"/>
        </w:rPr>
        <w:t xml:space="preserve"> y la participación activa de la Procuraduria General de la Nación </w:t>
      </w:r>
      <w:r w:rsidRPr="00E46994">
        <w:rPr>
          <w:noProof/>
          <w:lang w:val="es-CO" w:eastAsia="es-CO"/>
        </w:rPr>
        <w:t xml:space="preserve"> dirigida a la </w:t>
      </w:r>
      <w:r w:rsidRPr="00E46994">
        <w:rPr>
          <w:noProof/>
          <w:lang w:val="es-ES" w:eastAsia="es-CO"/>
        </w:rPr>
        <w:t xml:space="preserve">Promoción de la conciliación extrajudicial y judicial con un costo </w:t>
      </w:r>
      <w:r>
        <w:rPr>
          <w:noProof/>
          <w:lang w:val="es-ES" w:eastAsia="es-CO"/>
        </w:rPr>
        <w:t>de</w:t>
      </w:r>
      <w:r w:rsidRPr="00E46994">
        <w:rPr>
          <w:noProof/>
          <w:lang w:val="es-ES" w:eastAsia="es-CO"/>
        </w:rPr>
        <w:t xml:space="preserve"> </w:t>
      </w:r>
      <w:r>
        <w:rPr>
          <w:noProof/>
          <w:lang w:val="es-ES" w:eastAsia="es-CO"/>
        </w:rPr>
        <w:t>$</w:t>
      </w:r>
      <w:r w:rsidRPr="00E46994">
        <w:rPr>
          <w:noProof/>
          <w:lang w:val="es-ES" w:eastAsia="es-CO"/>
        </w:rPr>
        <w:t xml:space="preserve">1.2 billones que cobija cerca de 70.000 reclamantes. </w:t>
      </w:r>
    </w:p>
    <w:p w14:paraId="2F7A6FA2" w14:textId="77777777" w:rsidR="003B41C3" w:rsidRPr="00853E07" w:rsidRDefault="003B41C3" w:rsidP="003B41C3">
      <w:pPr>
        <w:ind w:right="-283"/>
        <w:jc w:val="both"/>
        <w:rPr>
          <w:noProof/>
          <w:lang w:val="es-CO" w:eastAsia="es-CO"/>
        </w:rPr>
      </w:pPr>
      <w:r w:rsidRPr="00853E07">
        <w:rPr>
          <w:noProof/>
          <w:lang w:val="es-CO" w:eastAsia="es-CO"/>
        </w:rPr>
        <w:t>Además, la ANDJE con fundamento en el artículo 271 de la Ley 1437 de 2011, solicitó Sentencia de Unificación a la Sección Segunda del Consejo de Estado para obtener un criterio uniforme de la Jurisprudencia sobre la metodología para a aplicar para el reajuste de las asignaciones de retiro de los miembros de la Fuerza Pública.</w:t>
      </w:r>
    </w:p>
    <w:p w14:paraId="07195E6A" w14:textId="77777777" w:rsidR="003B41C3" w:rsidRDefault="003B41C3" w:rsidP="003B41C3">
      <w:pPr>
        <w:ind w:right="-283"/>
        <w:jc w:val="both"/>
        <w:rPr>
          <w:noProof/>
          <w:lang w:val="es-CO" w:eastAsia="es-CO"/>
        </w:rPr>
      </w:pPr>
      <w:r w:rsidRPr="00853E07">
        <w:rPr>
          <w:noProof/>
          <w:lang w:val="es-CO" w:eastAsia="es-CO"/>
        </w:rPr>
        <w:t xml:space="preserve">A la fecha, de acuerdo </w:t>
      </w:r>
      <w:r>
        <w:rPr>
          <w:noProof/>
          <w:lang w:val="es-CO" w:eastAsia="es-CO"/>
        </w:rPr>
        <w:t>con</w:t>
      </w:r>
      <w:r w:rsidRPr="00853E07">
        <w:rPr>
          <w:noProof/>
          <w:lang w:val="es-CO" w:eastAsia="es-CO"/>
        </w:rPr>
        <w:t xml:space="preserve"> los informes presentados en las mesas inter institucionales, se reporta un éxito del 90% en la implementación de la pol</w:t>
      </w:r>
      <w:r w:rsidR="001F0049">
        <w:rPr>
          <w:noProof/>
          <w:lang w:val="es-CO" w:eastAsia="es-CO"/>
        </w:rPr>
        <w:t>ítica de conciliación adoptada.</w:t>
      </w:r>
    </w:p>
    <w:p w14:paraId="7347C3B3" w14:textId="77777777" w:rsidR="001F0049" w:rsidRPr="001F0049" w:rsidRDefault="001F0049" w:rsidP="003B41C3">
      <w:pPr>
        <w:ind w:right="-283"/>
        <w:jc w:val="both"/>
        <w:rPr>
          <w:noProof/>
          <w:lang w:val="es-CO" w:eastAsia="es-CO"/>
        </w:rPr>
      </w:pPr>
    </w:p>
    <w:p w14:paraId="232B96E6" w14:textId="77777777" w:rsidR="003B41C3" w:rsidRPr="00FA6CB4" w:rsidRDefault="003B41C3" w:rsidP="003B41C3">
      <w:pPr>
        <w:pStyle w:val="Prrafodelista"/>
        <w:numPr>
          <w:ilvl w:val="0"/>
          <w:numId w:val="66"/>
        </w:numPr>
        <w:ind w:right="-283"/>
        <w:jc w:val="both"/>
        <w:rPr>
          <w:b/>
          <w:noProof/>
          <w:lang w:val="es-CO" w:eastAsia="es-CO"/>
        </w:rPr>
      </w:pPr>
      <w:r w:rsidRPr="00FA6CB4">
        <w:rPr>
          <w:b/>
          <w:noProof/>
          <w:lang w:val="es-CO" w:eastAsia="es-CO"/>
        </w:rPr>
        <w:t>INFORME DE GESTIÓN DE DEFENSA EN ASUNTOS INTERNACIONALES.-</w:t>
      </w:r>
    </w:p>
    <w:p w14:paraId="5A48CC8C" w14:textId="77777777" w:rsidR="003B41C3" w:rsidRDefault="003B41C3" w:rsidP="003B41C3">
      <w:pPr>
        <w:pStyle w:val="Prrafodelista"/>
        <w:ind w:left="0" w:right="-283"/>
        <w:jc w:val="both"/>
        <w:rPr>
          <w:b/>
          <w:noProof/>
          <w:lang w:val="es-CO" w:eastAsia="es-CO"/>
        </w:rPr>
      </w:pPr>
    </w:p>
    <w:p w14:paraId="35DBEC47" w14:textId="77777777" w:rsidR="003B41C3" w:rsidRDefault="003B41C3" w:rsidP="003B41C3">
      <w:pPr>
        <w:pStyle w:val="Prrafodelista"/>
        <w:ind w:left="0" w:right="-283"/>
        <w:jc w:val="both"/>
        <w:rPr>
          <w:lang w:val="es-MX"/>
        </w:rPr>
      </w:pPr>
      <w:r w:rsidRPr="007F4A0A">
        <w:t xml:space="preserve">El Decreto 4085 del 2011 en sus artículos 6 y 17 </w:t>
      </w:r>
      <w:r>
        <w:t xml:space="preserve">numeral 6, </w:t>
      </w:r>
      <w:r w:rsidRPr="007F4A0A">
        <w:t>le asig</w:t>
      </w:r>
      <w:r>
        <w:t xml:space="preserve">na </w:t>
      </w:r>
      <w:r w:rsidRPr="007F4A0A">
        <w:t>a la Agencia Nacional de Defensa Jurídica del Estado la</w:t>
      </w:r>
      <w:r>
        <w:t xml:space="preserve"> función de coordinar y/o asumir la defensa jurídica del Estado en los procesos que se adelanten </w:t>
      </w:r>
      <w:r w:rsidRPr="007F4A0A">
        <w:rPr>
          <w:lang w:val="es-MX"/>
        </w:rPr>
        <w:t xml:space="preserve">ante organismos y jueces internacionales, </w:t>
      </w:r>
      <w:r>
        <w:rPr>
          <w:lang w:val="es-MX"/>
        </w:rPr>
        <w:t xml:space="preserve">de conformidad con los tratados y acuerdos que regulen la materia, </w:t>
      </w:r>
      <w:r w:rsidRPr="007F4A0A">
        <w:rPr>
          <w:lang w:val="es-MX"/>
        </w:rPr>
        <w:t xml:space="preserve">salvo aquellos relativos a controversias </w:t>
      </w:r>
      <w:r>
        <w:rPr>
          <w:lang w:val="es-MX"/>
        </w:rPr>
        <w:t xml:space="preserve">comerciales internacionales </w:t>
      </w:r>
      <w:r w:rsidRPr="007F4A0A">
        <w:rPr>
          <w:lang w:val="es-MX"/>
        </w:rPr>
        <w:t>en materia de inversión</w:t>
      </w:r>
      <w:r>
        <w:rPr>
          <w:lang w:val="es-MX"/>
        </w:rPr>
        <w:t>,</w:t>
      </w:r>
      <w:r w:rsidRPr="007F4A0A">
        <w:rPr>
          <w:lang w:val="es-MX"/>
        </w:rPr>
        <w:t xml:space="preserve"> r</w:t>
      </w:r>
      <w:r>
        <w:rPr>
          <w:lang w:val="es-MX"/>
        </w:rPr>
        <w:t>especto de lo</w:t>
      </w:r>
      <w:r w:rsidRPr="007F4A0A">
        <w:rPr>
          <w:lang w:val="es-MX"/>
        </w:rPr>
        <w:t>s cuales la Agencia solo cumple labores de apoyo y asesoramiento de las autoridades competentes</w:t>
      </w:r>
      <w:r>
        <w:rPr>
          <w:lang w:val="es-MX"/>
        </w:rPr>
        <w:t xml:space="preserve">. Para tal efecto, corresponde al Consejo Directivo de la Agencia determinar en qué casos la Agencia asume la defensa ante organismos y jueces internacionales. </w:t>
      </w:r>
    </w:p>
    <w:p w14:paraId="51043C54" w14:textId="77777777" w:rsidR="003B41C3" w:rsidRDefault="003B41C3" w:rsidP="003B41C3">
      <w:pPr>
        <w:ind w:right="-283"/>
        <w:jc w:val="both"/>
        <w:rPr>
          <w:rFonts w:ascii="Cambria" w:hAnsi="Cambria"/>
        </w:rPr>
      </w:pPr>
      <w:r w:rsidRPr="007F4A0A">
        <w:rPr>
          <w:rFonts w:ascii="Cambria" w:hAnsi="Cambria"/>
          <w:lang w:val="es-MX"/>
        </w:rPr>
        <w:t xml:space="preserve">Conforme </w:t>
      </w:r>
      <w:r>
        <w:rPr>
          <w:rFonts w:ascii="Cambria" w:hAnsi="Cambria"/>
          <w:lang w:val="es-MX"/>
        </w:rPr>
        <w:t xml:space="preserve">con </w:t>
      </w:r>
      <w:r w:rsidRPr="007F4A0A">
        <w:rPr>
          <w:rFonts w:ascii="Cambria" w:hAnsi="Cambria"/>
          <w:lang w:val="es-MX"/>
        </w:rPr>
        <w:t xml:space="preserve">lo anterior, mediante </w:t>
      </w:r>
      <w:r w:rsidRPr="007F4A0A">
        <w:rPr>
          <w:rFonts w:ascii="Cambria" w:hAnsi="Cambria"/>
        </w:rPr>
        <w:t>Acta No. 7 del 31 de octubre de 2012</w:t>
      </w:r>
      <w:r>
        <w:rPr>
          <w:rFonts w:ascii="Cambria" w:hAnsi="Cambria"/>
        </w:rPr>
        <w:t>,</w:t>
      </w:r>
      <w:r w:rsidRPr="007F4A0A">
        <w:rPr>
          <w:rFonts w:ascii="Cambria" w:hAnsi="Cambria"/>
        </w:rPr>
        <w:t xml:space="preserve"> </w:t>
      </w:r>
      <w:r w:rsidRPr="007F4A0A">
        <w:rPr>
          <w:rFonts w:ascii="Cambria" w:hAnsi="Cambria"/>
          <w:lang w:val="es-MX"/>
        </w:rPr>
        <w:t>el Consejo Directivo de la Agencia, conformado por el Ministerio de Justicia y Derecho, el Ministerio de Relaciones Exteriores, el Ministerio de Hacienda y Crédito Público, el</w:t>
      </w:r>
      <w:r w:rsidRPr="007F4A0A">
        <w:rPr>
          <w:rFonts w:ascii="Cambria" w:hAnsi="Cambria"/>
        </w:rPr>
        <w:t xml:space="preserve"> Ministerio de Comercio, Industria y Turismo, y la Secretaría Jurídica de la Presidencia de la República</w:t>
      </w:r>
      <w:r w:rsidRPr="007F4A0A">
        <w:rPr>
          <w:rFonts w:ascii="Cambria" w:hAnsi="Cambria"/>
          <w:lang w:val="es-MX"/>
        </w:rPr>
        <w:t xml:space="preserve">, </w:t>
      </w:r>
      <w:r>
        <w:rPr>
          <w:rFonts w:ascii="Cambria" w:hAnsi="Cambria"/>
          <w:lang w:val="es-MX"/>
        </w:rPr>
        <w:t xml:space="preserve">determinó que los </w:t>
      </w:r>
      <w:r w:rsidRPr="007F4A0A">
        <w:rPr>
          <w:rFonts w:ascii="Cambria" w:hAnsi="Cambria"/>
          <w:lang w:val="es-MX"/>
        </w:rPr>
        <w:t xml:space="preserve">procesos </w:t>
      </w:r>
      <w:r w:rsidRPr="007F4A0A">
        <w:rPr>
          <w:rFonts w:ascii="Cambria" w:hAnsi="Cambria"/>
        </w:rPr>
        <w:t>contra el Estado en trámite ante los órganos de supervisión del Sistema Interamericano de D</w:t>
      </w:r>
      <w:r>
        <w:rPr>
          <w:rFonts w:ascii="Cambria" w:hAnsi="Cambria"/>
        </w:rPr>
        <w:t>erechos Humanos, concretamente ante l</w:t>
      </w:r>
      <w:r w:rsidRPr="007F4A0A">
        <w:rPr>
          <w:rFonts w:ascii="Cambria" w:hAnsi="Cambria"/>
        </w:rPr>
        <w:t>a Comisión Interamericana de Derechos Humanos (CIDH) y la Corte Interamericana de Derechos Humanos (Corte</w:t>
      </w:r>
      <w:r>
        <w:rPr>
          <w:rFonts w:ascii="Cambria" w:hAnsi="Cambria"/>
        </w:rPr>
        <w:t xml:space="preserve"> </w:t>
      </w:r>
      <w:r w:rsidRPr="007F4A0A">
        <w:rPr>
          <w:rFonts w:ascii="Cambria" w:hAnsi="Cambria"/>
        </w:rPr>
        <w:t>IDH)</w:t>
      </w:r>
      <w:r>
        <w:rPr>
          <w:rFonts w:ascii="Cambria" w:hAnsi="Cambria"/>
        </w:rPr>
        <w:t xml:space="preserve">, serían asumidos por </w:t>
      </w:r>
      <w:r w:rsidRPr="007F4A0A">
        <w:rPr>
          <w:rFonts w:ascii="Cambria" w:hAnsi="Cambria"/>
          <w:lang w:val="es-MX"/>
        </w:rPr>
        <w:t>la Agencia</w:t>
      </w:r>
      <w:r>
        <w:rPr>
          <w:rFonts w:ascii="Cambria" w:hAnsi="Cambria"/>
          <w:lang w:val="es-MX"/>
        </w:rPr>
        <w:t xml:space="preserve">. La asunción de dicha competencia quedó condicionada a un periodo de transición durante el cual se dotara a la Agencia de recursos presupuestales, físicos y humanos para asumir adecuadamente las nuevas funciones.  </w:t>
      </w:r>
      <w:r w:rsidRPr="007F4A0A">
        <w:rPr>
          <w:rFonts w:ascii="Cambria" w:hAnsi="Cambria"/>
          <w:lang w:val="es-MX"/>
        </w:rPr>
        <w:t xml:space="preserve"> </w:t>
      </w:r>
    </w:p>
    <w:p w14:paraId="2A8B48DF" w14:textId="77777777" w:rsidR="003B41C3" w:rsidRPr="007F4A0A" w:rsidRDefault="003B41C3" w:rsidP="003B41C3">
      <w:pPr>
        <w:ind w:right="-283"/>
        <w:jc w:val="both"/>
        <w:rPr>
          <w:rFonts w:ascii="Cambria" w:hAnsi="Cambria"/>
        </w:rPr>
      </w:pPr>
      <w:r w:rsidRPr="007F4A0A">
        <w:rPr>
          <w:rFonts w:ascii="Cambria" w:hAnsi="Cambria"/>
        </w:rPr>
        <w:t xml:space="preserve">Previo a la expedición del Decreto 4085 de 2011, esta función estaba a cargo de un grupo interinstitucional creado mediante la Directiva Presidencial No. 2 de 2005, el cual se </w:t>
      </w:r>
      <w:r w:rsidRPr="007F4A0A">
        <w:rPr>
          <w:rFonts w:ascii="Cambria" w:hAnsi="Cambria"/>
        </w:rPr>
        <w:lastRenderedPageBreak/>
        <w:t>encontraba</w:t>
      </w:r>
      <w:r>
        <w:rPr>
          <w:rFonts w:ascii="Cambria" w:hAnsi="Cambria"/>
        </w:rPr>
        <w:t xml:space="preserve"> vinculado en su mayoría a</w:t>
      </w:r>
      <w:r w:rsidRPr="007F4A0A">
        <w:rPr>
          <w:rFonts w:ascii="Cambria" w:hAnsi="Cambria"/>
        </w:rPr>
        <w:t>l Ministerio de Relaciones Exteriores</w:t>
      </w:r>
      <w:r>
        <w:rPr>
          <w:rFonts w:ascii="Cambria" w:hAnsi="Cambria"/>
        </w:rPr>
        <w:t xml:space="preserve"> y era coordinado por el Ministerio de Defensa.</w:t>
      </w:r>
    </w:p>
    <w:p w14:paraId="3C774B22" w14:textId="77777777" w:rsidR="003B41C3" w:rsidRDefault="003B41C3" w:rsidP="003B41C3">
      <w:pPr>
        <w:ind w:right="-283"/>
        <w:jc w:val="both"/>
        <w:rPr>
          <w:rFonts w:ascii="Cambria" w:hAnsi="Cambria"/>
        </w:rPr>
      </w:pPr>
      <w:r w:rsidRPr="007F4A0A">
        <w:rPr>
          <w:rFonts w:ascii="Cambria" w:hAnsi="Cambria"/>
        </w:rPr>
        <w:t>Es así como la Agencia Nacional de Defensa Jurídica del Estado asum</w:t>
      </w:r>
      <w:r>
        <w:rPr>
          <w:rFonts w:ascii="Cambria" w:hAnsi="Cambria"/>
        </w:rPr>
        <w:t>e</w:t>
      </w:r>
      <w:r w:rsidRPr="007F4A0A">
        <w:rPr>
          <w:rFonts w:ascii="Cambria" w:hAnsi="Cambria"/>
        </w:rPr>
        <w:t xml:space="preserve"> la efectiva defensa del Estado colombiano ante dichos órganos</w:t>
      </w:r>
      <w:r>
        <w:rPr>
          <w:rFonts w:ascii="Cambria" w:hAnsi="Cambria"/>
        </w:rPr>
        <w:t xml:space="preserve">. Se </w:t>
      </w:r>
      <w:r w:rsidRPr="007F4A0A">
        <w:rPr>
          <w:rFonts w:ascii="Cambria" w:hAnsi="Cambria"/>
        </w:rPr>
        <w:t>encarg</w:t>
      </w:r>
      <w:r>
        <w:rPr>
          <w:rFonts w:ascii="Cambria" w:hAnsi="Cambria"/>
        </w:rPr>
        <w:t>a</w:t>
      </w:r>
      <w:r w:rsidRPr="007F4A0A">
        <w:rPr>
          <w:rFonts w:ascii="Cambria" w:hAnsi="Cambria"/>
        </w:rPr>
        <w:t xml:space="preserve"> en el caso de la CIDH de la sustanciación de peticiones y casos individuales que se encuentren en etapa de admisibilidad o fondo, de impulsar el cumplimiento de recomendaciones emitidas por dicho órgano conforme al artículo 50 de la Convención Americana sobre Derechos Humanos, y de promover y tramitar soluciones amistosas no homologadas, a través de la articulación de todos los actores que componen el ciclo de defensa de la Nación y la construcción estratégica de líneas de litigio.  </w:t>
      </w:r>
    </w:p>
    <w:p w14:paraId="478A3310" w14:textId="77777777" w:rsidR="003B41C3" w:rsidRPr="007F4A0A" w:rsidRDefault="003B41C3" w:rsidP="003B41C3">
      <w:pPr>
        <w:ind w:right="-283"/>
        <w:jc w:val="both"/>
        <w:rPr>
          <w:rFonts w:ascii="Cambria" w:hAnsi="Cambria"/>
        </w:rPr>
      </w:pPr>
      <w:r w:rsidRPr="007F4A0A">
        <w:rPr>
          <w:rFonts w:ascii="Cambria" w:hAnsi="Cambria"/>
        </w:rPr>
        <w:t xml:space="preserve">De igual forma, ante la Corte Interamericana de Derechos Humanos, la Agencia representa al Estado en los casos contenciosos Marino López Mena y otros (Operación Génesis) y Carlos Augusto Rodríguez Vera y </w:t>
      </w:r>
      <w:proofErr w:type="gramStart"/>
      <w:r w:rsidRPr="007F4A0A">
        <w:rPr>
          <w:rFonts w:ascii="Cambria" w:hAnsi="Cambria"/>
        </w:rPr>
        <w:t>otros</w:t>
      </w:r>
      <w:proofErr w:type="gramEnd"/>
      <w:r w:rsidRPr="007F4A0A">
        <w:rPr>
          <w:rFonts w:ascii="Cambria" w:hAnsi="Cambria"/>
        </w:rPr>
        <w:t xml:space="preserve"> (Palacio de Justicia), que se encuentran en trámite actualmente.</w:t>
      </w:r>
    </w:p>
    <w:p w14:paraId="1BD5D33E" w14:textId="77777777" w:rsidR="003B41C3" w:rsidRPr="007F4A0A" w:rsidRDefault="003B41C3" w:rsidP="003B41C3">
      <w:pPr>
        <w:ind w:right="-283"/>
        <w:jc w:val="both"/>
        <w:rPr>
          <w:rFonts w:ascii="Cambria" w:hAnsi="Cambria"/>
        </w:rPr>
      </w:pPr>
      <w:r w:rsidRPr="007F4A0A">
        <w:rPr>
          <w:rFonts w:ascii="Cambria" w:hAnsi="Cambria"/>
        </w:rPr>
        <w:t xml:space="preserve">La Agencia tiene actualmente a su cargo 272 casos ante el Sistema Interamericano de Derechos Humanos, como se puede apreciar en el siguiente cuadro, de los cuales ante la Comisión Interamericana de Derechos Humanos se encuentran 201 en admisibilidad, 61 en etapa de fondo, 2 casos cuentan con recomendaciones emitidas en virtud del artículo 50 de la Convención Americana y 5 tienen acumuladas las etapas de admisibilidad y fondo, a los cuales se suman los casos ante la Corte Interamericana de Derechos Humanos. </w:t>
      </w:r>
      <w:r>
        <w:rPr>
          <w:rFonts w:ascii="Cambria" w:hAnsi="Cambria"/>
        </w:rPr>
        <w:t>(Tabla 11)</w:t>
      </w:r>
    </w:p>
    <w:p w14:paraId="7515B09C" w14:textId="77777777" w:rsidR="003B41C3" w:rsidRDefault="003B41C3" w:rsidP="003B41C3">
      <w:pPr>
        <w:jc w:val="center"/>
        <w:rPr>
          <w:b/>
          <w:color w:val="FF0000"/>
          <w:sz w:val="20"/>
          <w:szCs w:val="20"/>
          <w:lang w:val="es-CO"/>
        </w:rPr>
      </w:pPr>
    </w:p>
    <w:p w14:paraId="5C254EA0" w14:textId="77777777" w:rsidR="003B41C3" w:rsidRPr="007725B6" w:rsidRDefault="003B41C3" w:rsidP="003B41C3">
      <w:pPr>
        <w:jc w:val="center"/>
        <w:rPr>
          <w:b/>
          <w:sz w:val="20"/>
          <w:szCs w:val="20"/>
          <w:lang w:val="es-CO"/>
        </w:rPr>
      </w:pPr>
      <w:r w:rsidRPr="00E46994">
        <w:rPr>
          <w:b/>
          <w:sz w:val="20"/>
          <w:szCs w:val="20"/>
          <w:lang w:val="es-CO"/>
        </w:rPr>
        <w:t xml:space="preserve">Tabla </w:t>
      </w:r>
      <w:r>
        <w:rPr>
          <w:b/>
          <w:sz w:val="20"/>
          <w:szCs w:val="20"/>
          <w:lang w:val="es-CO"/>
        </w:rPr>
        <w:t>11</w:t>
      </w:r>
      <w:r w:rsidRPr="00E46994">
        <w:rPr>
          <w:b/>
          <w:sz w:val="20"/>
          <w:szCs w:val="20"/>
          <w:lang w:val="es-CO"/>
        </w:rPr>
        <w:t xml:space="preserve">: </w:t>
      </w:r>
      <w:r w:rsidRPr="007725B6">
        <w:rPr>
          <w:b/>
          <w:sz w:val="20"/>
          <w:szCs w:val="20"/>
          <w:lang w:val="es-CO"/>
        </w:rPr>
        <w:t>Casos ante el Sistema Interamericano de Derechos Humanos</w:t>
      </w:r>
    </w:p>
    <w:tbl>
      <w:tblPr>
        <w:tblStyle w:val="Tablaconcuadrcula"/>
        <w:tblW w:w="0" w:type="auto"/>
        <w:tblInd w:w="279" w:type="dxa"/>
        <w:tblLook w:val="04A0" w:firstRow="1" w:lastRow="0" w:firstColumn="1" w:lastColumn="0" w:noHBand="0" w:noVBand="1"/>
      </w:tblPr>
      <w:tblGrid>
        <w:gridCol w:w="5528"/>
        <w:gridCol w:w="2835"/>
      </w:tblGrid>
      <w:tr w:rsidR="003B41C3" w14:paraId="26C888B5" w14:textId="77777777" w:rsidTr="003B41C3">
        <w:tc>
          <w:tcPr>
            <w:tcW w:w="5528" w:type="dxa"/>
            <w:shd w:val="clear" w:color="auto" w:fill="8DB3E2" w:themeFill="text2" w:themeFillTint="66"/>
          </w:tcPr>
          <w:p w14:paraId="1E463701" w14:textId="77777777" w:rsidR="003B41C3" w:rsidRDefault="003B41C3" w:rsidP="003B41C3">
            <w:pPr>
              <w:jc w:val="both"/>
              <w:rPr>
                <w:bCs/>
                <w:noProof/>
                <w:lang w:val="es-CO"/>
              </w:rPr>
            </w:pPr>
            <w:r>
              <w:rPr>
                <w:bCs/>
                <w:noProof/>
                <w:lang w:val="es-CO"/>
              </w:rPr>
              <w:t>ETAPAS</w:t>
            </w:r>
          </w:p>
        </w:tc>
        <w:tc>
          <w:tcPr>
            <w:tcW w:w="2835" w:type="dxa"/>
            <w:shd w:val="clear" w:color="auto" w:fill="8DB3E2" w:themeFill="text2" w:themeFillTint="66"/>
          </w:tcPr>
          <w:p w14:paraId="06B8E3E7" w14:textId="77777777" w:rsidR="003B41C3" w:rsidRDefault="003B41C3" w:rsidP="003B41C3">
            <w:pPr>
              <w:jc w:val="center"/>
              <w:rPr>
                <w:bCs/>
                <w:noProof/>
                <w:lang w:val="es-CO"/>
              </w:rPr>
            </w:pPr>
            <w:r>
              <w:rPr>
                <w:bCs/>
                <w:noProof/>
                <w:lang w:val="es-CO"/>
              </w:rPr>
              <w:t>NUMERO DE CASOS</w:t>
            </w:r>
          </w:p>
          <w:p w14:paraId="7E0BD3C8" w14:textId="77777777" w:rsidR="003B41C3" w:rsidRDefault="003B41C3" w:rsidP="003B41C3">
            <w:pPr>
              <w:jc w:val="center"/>
              <w:rPr>
                <w:bCs/>
                <w:noProof/>
                <w:lang w:val="es-CO"/>
              </w:rPr>
            </w:pPr>
          </w:p>
        </w:tc>
      </w:tr>
      <w:tr w:rsidR="003B41C3" w14:paraId="126AC070" w14:textId="77777777" w:rsidTr="003B41C3">
        <w:tc>
          <w:tcPr>
            <w:tcW w:w="5528" w:type="dxa"/>
          </w:tcPr>
          <w:p w14:paraId="763154B4" w14:textId="77777777" w:rsidR="003B41C3" w:rsidRPr="00005C1A" w:rsidRDefault="003B41C3" w:rsidP="003B41C3">
            <w:pPr>
              <w:jc w:val="both"/>
              <w:rPr>
                <w:bCs/>
                <w:noProof/>
                <w:sz w:val="20"/>
                <w:szCs w:val="20"/>
                <w:lang w:val="es-CO"/>
              </w:rPr>
            </w:pPr>
            <w:r w:rsidRPr="00005C1A">
              <w:rPr>
                <w:bCs/>
                <w:noProof/>
                <w:sz w:val="20"/>
                <w:szCs w:val="20"/>
                <w:lang w:val="es-CO"/>
              </w:rPr>
              <w:t>Admisibilidad</w:t>
            </w:r>
          </w:p>
          <w:p w14:paraId="5D8B6C22" w14:textId="77777777" w:rsidR="003B41C3" w:rsidRPr="00005C1A" w:rsidRDefault="003B41C3" w:rsidP="003B41C3">
            <w:pPr>
              <w:jc w:val="both"/>
              <w:rPr>
                <w:bCs/>
                <w:noProof/>
                <w:sz w:val="20"/>
                <w:szCs w:val="20"/>
                <w:lang w:val="es-CO"/>
              </w:rPr>
            </w:pPr>
          </w:p>
        </w:tc>
        <w:tc>
          <w:tcPr>
            <w:tcW w:w="2835" w:type="dxa"/>
          </w:tcPr>
          <w:p w14:paraId="48C0402C" w14:textId="77777777" w:rsidR="003B41C3" w:rsidRPr="00005C1A" w:rsidRDefault="003B41C3" w:rsidP="003B41C3">
            <w:pPr>
              <w:jc w:val="center"/>
              <w:rPr>
                <w:bCs/>
                <w:noProof/>
                <w:sz w:val="20"/>
                <w:szCs w:val="20"/>
                <w:lang w:val="es-CO"/>
              </w:rPr>
            </w:pPr>
            <w:r w:rsidRPr="00005C1A">
              <w:rPr>
                <w:bCs/>
                <w:noProof/>
                <w:sz w:val="20"/>
                <w:szCs w:val="20"/>
                <w:lang w:val="es-CO"/>
              </w:rPr>
              <w:t>201</w:t>
            </w:r>
          </w:p>
        </w:tc>
      </w:tr>
      <w:tr w:rsidR="003B41C3" w14:paraId="0F5F6DEB" w14:textId="77777777" w:rsidTr="003B41C3">
        <w:tc>
          <w:tcPr>
            <w:tcW w:w="5528" w:type="dxa"/>
          </w:tcPr>
          <w:p w14:paraId="2465441C" w14:textId="77777777" w:rsidR="003B41C3" w:rsidRPr="00005C1A" w:rsidRDefault="003B41C3" w:rsidP="003B41C3">
            <w:pPr>
              <w:jc w:val="both"/>
              <w:rPr>
                <w:bCs/>
                <w:noProof/>
                <w:sz w:val="20"/>
                <w:szCs w:val="20"/>
                <w:lang w:val="es-CO"/>
              </w:rPr>
            </w:pPr>
            <w:r w:rsidRPr="00005C1A">
              <w:rPr>
                <w:bCs/>
                <w:noProof/>
                <w:sz w:val="20"/>
                <w:szCs w:val="20"/>
                <w:lang w:val="es-CO"/>
              </w:rPr>
              <w:t>Admisibilidad y Fondo (acumuladas)</w:t>
            </w:r>
          </w:p>
          <w:p w14:paraId="5BF29B38" w14:textId="77777777" w:rsidR="003B41C3" w:rsidRPr="00005C1A" w:rsidRDefault="003B41C3" w:rsidP="003B41C3">
            <w:pPr>
              <w:jc w:val="both"/>
              <w:rPr>
                <w:bCs/>
                <w:noProof/>
                <w:sz w:val="20"/>
                <w:szCs w:val="20"/>
                <w:lang w:val="es-CO"/>
              </w:rPr>
            </w:pPr>
          </w:p>
        </w:tc>
        <w:tc>
          <w:tcPr>
            <w:tcW w:w="2835" w:type="dxa"/>
          </w:tcPr>
          <w:p w14:paraId="0539A444" w14:textId="77777777" w:rsidR="003B41C3" w:rsidRPr="00005C1A" w:rsidRDefault="003B41C3" w:rsidP="003B41C3">
            <w:pPr>
              <w:jc w:val="center"/>
              <w:rPr>
                <w:bCs/>
                <w:noProof/>
                <w:sz w:val="20"/>
                <w:szCs w:val="20"/>
                <w:lang w:val="es-CO"/>
              </w:rPr>
            </w:pPr>
            <w:r w:rsidRPr="00005C1A">
              <w:rPr>
                <w:bCs/>
                <w:noProof/>
                <w:sz w:val="20"/>
                <w:szCs w:val="20"/>
                <w:lang w:val="es-CO"/>
              </w:rPr>
              <w:t>5</w:t>
            </w:r>
          </w:p>
        </w:tc>
      </w:tr>
      <w:tr w:rsidR="003B41C3" w14:paraId="774CACC6" w14:textId="77777777" w:rsidTr="003B41C3">
        <w:tc>
          <w:tcPr>
            <w:tcW w:w="5528" w:type="dxa"/>
          </w:tcPr>
          <w:p w14:paraId="5B088019" w14:textId="77777777" w:rsidR="003B41C3" w:rsidRPr="00005C1A" w:rsidRDefault="003B41C3" w:rsidP="003B41C3">
            <w:pPr>
              <w:jc w:val="both"/>
              <w:rPr>
                <w:bCs/>
                <w:noProof/>
                <w:sz w:val="20"/>
                <w:szCs w:val="20"/>
                <w:lang w:val="es-CO"/>
              </w:rPr>
            </w:pPr>
            <w:r w:rsidRPr="00005C1A">
              <w:rPr>
                <w:bCs/>
                <w:noProof/>
                <w:sz w:val="20"/>
                <w:szCs w:val="20"/>
                <w:lang w:val="es-CO"/>
              </w:rPr>
              <w:t>Fondo</w:t>
            </w:r>
          </w:p>
          <w:p w14:paraId="702733F8" w14:textId="77777777" w:rsidR="003B41C3" w:rsidRPr="00005C1A" w:rsidRDefault="003B41C3" w:rsidP="003B41C3">
            <w:pPr>
              <w:jc w:val="both"/>
              <w:rPr>
                <w:bCs/>
                <w:noProof/>
                <w:sz w:val="20"/>
                <w:szCs w:val="20"/>
                <w:lang w:val="es-CO"/>
              </w:rPr>
            </w:pPr>
          </w:p>
        </w:tc>
        <w:tc>
          <w:tcPr>
            <w:tcW w:w="2835" w:type="dxa"/>
          </w:tcPr>
          <w:p w14:paraId="2B0198B9" w14:textId="77777777" w:rsidR="003B41C3" w:rsidRPr="00005C1A" w:rsidRDefault="003B41C3" w:rsidP="003B41C3">
            <w:pPr>
              <w:jc w:val="center"/>
              <w:rPr>
                <w:bCs/>
                <w:noProof/>
                <w:sz w:val="20"/>
                <w:szCs w:val="20"/>
                <w:lang w:val="es-CO"/>
              </w:rPr>
            </w:pPr>
            <w:r w:rsidRPr="00005C1A">
              <w:rPr>
                <w:bCs/>
                <w:noProof/>
                <w:sz w:val="20"/>
                <w:szCs w:val="20"/>
                <w:lang w:val="es-CO"/>
              </w:rPr>
              <w:t>61</w:t>
            </w:r>
          </w:p>
        </w:tc>
      </w:tr>
      <w:tr w:rsidR="003B41C3" w14:paraId="59F0DA33" w14:textId="77777777" w:rsidTr="003B41C3">
        <w:tc>
          <w:tcPr>
            <w:tcW w:w="5528" w:type="dxa"/>
          </w:tcPr>
          <w:p w14:paraId="538D1147" w14:textId="77777777" w:rsidR="003B41C3" w:rsidRPr="00005C1A" w:rsidRDefault="003B41C3" w:rsidP="003B41C3">
            <w:pPr>
              <w:jc w:val="both"/>
              <w:rPr>
                <w:bCs/>
                <w:noProof/>
                <w:sz w:val="20"/>
                <w:szCs w:val="20"/>
                <w:lang w:val="es-CO"/>
              </w:rPr>
            </w:pPr>
            <w:r w:rsidRPr="00005C1A">
              <w:rPr>
                <w:bCs/>
                <w:noProof/>
                <w:sz w:val="20"/>
                <w:szCs w:val="20"/>
                <w:lang w:val="es-CO"/>
              </w:rPr>
              <w:t>Recomendaciones según art. 50 Convención Americana</w:t>
            </w:r>
          </w:p>
          <w:p w14:paraId="65DCB99E" w14:textId="77777777" w:rsidR="003B41C3" w:rsidRPr="00005C1A" w:rsidRDefault="003B41C3" w:rsidP="003B41C3">
            <w:pPr>
              <w:jc w:val="both"/>
              <w:rPr>
                <w:bCs/>
                <w:noProof/>
                <w:sz w:val="20"/>
                <w:szCs w:val="20"/>
                <w:lang w:val="es-CO"/>
              </w:rPr>
            </w:pPr>
          </w:p>
        </w:tc>
        <w:tc>
          <w:tcPr>
            <w:tcW w:w="2835" w:type="dxa"/>
          </w:tcPr>
          <w:p w14:paraId="5FC9C0A8" w14:textId="77777777" w:rsidR="003B41C3" w:rsidRPr="00005C1A" w:rsidRDefault="003B41C3" w:rsidP="003B41C3">
            <w:pPr>
              <w:jc w:val="center"/>
              <w:rPr>
                <w:bCs/>
                <w:noProof/>
                <w:sz w:val="20"/>
                <w:szCs w:val="20"/>
                <w:lang w:val="es-CO"/>
              </w:rPr>
            </w:pPr>
            <w:r w:rsidRPr="00005C1A">
              <w:rPr>
                <w:bCs/>
                <w:noProof/>
                <w:sz w:val="20"/>
                <w:szCs w:val="20"/>
                <w:lang w:val="es-CO"/>
              </w:rPr>
              <w:t>2</w:t>
            </w:r>
          </w:p>
        </w:tc>
      </w:tr>
      <w:tr w:rsidR="003B41C3" w14:paraId="4F6370F5" w14:textId="77777777" w:rsidTr="003B41C3">
        <w:tc>
          <w:tcPr>
            <w:tcW w:w="5528" w:type="dxa"/>
          </w:tcPr>
          <w:p w14:paraId="07EFC952" w14:textId="77777777" w:rsidR="003B41C3" w:rsidRPr="00005C1A" w:rsidRDefault="003B41C3" w:rsidP="003B41C3">
            <w:pPr>
              <w:jc w:val="both"/>
              <w:rPr>
                <w:bCs/>
                <w:noProof/>
                <w:sz w:val="20"/>
                <w:szCs w:val="20"/>
                <w:lang w:val="es-CO"/>
              </w:rPr>
            </w:pPr>
            <w:r w:rsidRPr="00005C1A">
              <w:rPr>
                <w:bCs/>
                <w:noProof/>
                <w:sz w:val="20"/>
                <w:szCs w:val="20"/>
                <w:lang w:val="es-CO"/>
              </w:rPr>
              <w:t>Corte Interamericana de Derechos Humanos</w:t>
            </w:r>
          </w:p>
          <w:p w14:paraId="150B0CC2" w14:textId="77777777" w:rsidR="003B41C3" w:rsidRPr="00005C1A" w:rsidRDefault="003B41C3" w:rsidP="003B41C3">
            <w:pPr>
              <w:jc w:val="both"/>
              <w:rPr>
                <w:bCs/>
                <w:noProof/>
                <w:sz w:val="20"/>
                <w:szCs w:val="20"/>
                <w:lang w:val="es-CO"/>
              </w:rPr>
            </w:pPr>
          </w:p>
        </w:tc>
        <w:tc>
          <w:tcPr>
            <w:tcW w:w="2835" w:type="dxa"/>
          </w:tcPr>
          <w:p w14:paraId="63F52A44" w14:textId="77777777" w:rsidR="003B41C3" w:rsidRPr="00005C1A" w:rsidRDefault="003B41C3" w:rsidP="003B41C3">
            <w:pPr>
              <w:jc w:val="center"/>
              <w:rPr>
                <w:bCs/>
                <w:noProof/>
                <w:sz w:val="20"/>
                <w:szCs w:val="20"/>
                <w:lang w:val="es-CO"/>
              </w:rPr>
            </w:pPr>
            <w:r w:rsidRPr="00005C1A">
              <w:rPr>
                <w:bCs/>
                <w:noProof/>
                <w:sz w:val="20"/>
                <w:szCs w:val="20"/>
                <w:lang w:val="es-CO"/>
              </w:rPr>
              <w:t>3</w:t>
            </w:r>
          </w:p>
        </w:tc>
      </w:tr>
      <w:tr w:rsidR="003B41C3" w:rsidRPr="009C0C18" w14:paraId="586A9682" w14:textId="77777777" w:rsidTr="003B41C3">
        <w:tc>
          <w:tcPr>
            <w:tcW w:w="5528" w:type="dxa"/>
          </w:tcPr>
          <w:p w14:paraId="34F14351" w14:textId="77777777" w:rsidR="003B41C3" w:rsidRPr="00005C1A" w:rsidRDefault="003B41C3" w:rsidP="003B41C3">
            <w:pPr>
              <w:jc w:val="both"/>
              <w:rPr>
                <w:b/>
                <w:bCs/>
                <w:noProof/>
                <w:sz w:val="20"/>
                <w:szCs w:val="20"/>
                <w:lang w:val="es-CO"/>
              </w:rPr>
            </w:pPr>
            <w:r w:rsidRPr="00005C1A">
              <w:rPr>
                <w:b/>
                <w:bCs/>
                <w:noProof/>
                <w:sz w:val="20"/>
                <w:szCs w:val="20"/>
                <w:lang w:val="es-CO"/>
              </w:rPr>
              <w:t>TOTAL CASOS</w:t>
            </w:r>
          </w:p>
        </w:tc>
        <w:tc>
          <w:tcPr>
            <w:tcW w:w="2835" w:type="dxa"/>
          </w:tcPr>
          <w:p w14:paraId="26B04BE0" w14:textId="77777777" w:rsidR="003B41C3" w:rsidRPr="00005C1A" w:rsidRDefault="003B41C3" w:rsidP="003B41C3">
            <w:pPr>
              <w:jc w:val="center"/>
              <w:rPr>
                <w:b/>
                <w:bCs/>
                <w:noProof/>
                <w:sz w:val="20"/>
                <w:szCs w:val="20"/>
                <w:lang w:val="es-CO"/>
              </w:rPr>
            </w:pPr>
            <w:r w:rsidRPr="00005C1A">
              <w:rPr>
                <w:b/>
                <w:bCs/>
                <w:noProof/>
                <w:sz w:val="20"/>
                <w:szCs w:val="20"/>
                <w:lang w:val="es-CO"/>
              </w:rPr>
              <w:t>272</w:t>
            </w:r>
          </w:p>
          <w:p w14:paraId="545B94DC" w14:textId="77777777" w:rsidR="003B41C3" w:rsidRPr="00005C1A" w:rsidRDefault="003B41C3" w:rsidP="003B41C3">
            <w:pPr>
              <w:jc w:val="center"/>
              <w:rPr>
                <w:b/>
                <w:bCs/>
                <w:noProof/>
                <w:sz w:val="20"/>
                <w:szCs w:val="20"/>
                <w:lang w:val="es-CO"/>
              </w:rPr>
            </w:pPr>
          </w:p>
        </w:tc>
      </w:tr>
    </w:tbl>
    <w:p w14:paraId="2FA57D5B" w14:textId="7DB45F26" w:rsidR="00E23EFA" w:rsidRPr="00EE7842" w:rsidRDefault="00E23EFA" w:rsidP="00E23EFA">
      <w:pPr>
        <w:ind w:right="-283"/>
        <w:jc w:val="center"/>
        <w:rPr>
          <w:rFonts w:cs="Arial"/>
          <w:b/>
          <w:sz w:val="20"/>
          <w:szCs w:val="20"/>
        </w:rPr>
      </w:pPr>
      <w:r w:rsidRPr="009915EB">
        <w:rPr>
          <w:rFonts w:cs="Arial"/>
          <w:b/>
          <w:sz w:val="18"/>
          <w:szCs w:val="18"/>
        </w:rPr>
        <w:t xml:space="preserve">Fuente: </w:t>
      </w:r>
      <w:r>
        <w:rPr>
          <w:rFonts w:cs="Arial"/>
          <w:b/>
          <w:sz w:val="18"/>
          <w:szCs w:val="18"/>
        </w:rPr>
        <w:t xml:space="preserve">Matriz Seguimiento de Casos (Septiembre </w:t>
      </w:r>
      <w:r w:rsidRPr="00284617">
        <w:rPr>
          <w:rFonts w:cs="Arial"/>
          <w:b/>
          <w:sz w:val="18"/>
          <w:szCs w:val="18"/>
        </w:rPr>
        <w:t xml:space="preserve">de 2013). Cálculos: </w:t>
      </w:r>
      <w:r>
        <w:rPr>
          <w:rFonts w:cs="Arial"/>
          <w:b/>
          <w:sz w:val="18"/>
          <w:szCs w:val="18"/>
        </w:rPr>
        <w:t>DDJ</w:t>
      </w:r>
      <w:r w:rsidRPr="0060006B">
        <w:rPr>
          <w:rFonts w:cs="Arial"/>
          <w:b/>
          <w:sz w:val="18"/>
          <w:szCs w:val="18"/>
        </w:rPr>
        <w:t>-ANDJE</w:t>
      </w:r>
    </w:p>
    <w:p w14:paraId="4C523CE3" w14:textId="77777777" w:rsidR="003B41C3" w:rsidRPr="0080274B" w:rsidRDefault="003B41C3" w:rsidP="003B41C3">
      <w:pPr>
        <w:ind w:right="-283"/>
        <w:jc w:val="both"/>
        <w:rPr>
          <w:bCs/>
          <w:noProof/>
          <w:lang w:val="es-CO"/>
        </w:rPr>
      </w:pPr>
      <w:r>
        <w:rPr>
          <w:bCs/>
          <w:noProof/>
          <w:lang w:val="es-CO"/>
        </w:rPr>
        <w:lastRenderedPageBreak/>
        <w:t>Los principales logros d</w:t>
      </w:r>
      <w:r w:rsidRPr="0080274B">
        <w:rPr>
          <w:bCs/>
          <w:noProof/>
          <w:lang w:val="es-CO"/>
        </w:rPr>
        <w:t>e la Agencia en materia internacional</w:t>
      </w:r>
      <w:r>
        <w:rPr>
          <w:bCs/>
          <w:noProof/>
          <w:lang w:val="es-CO"/>
        </w:rPr>
        <w:t xml:space="preserve">  son los siguientes:</w:t>
      </w:r>
    </w:p>
    <w:p w14:paraId="09F6A271" w14:textId="77777777" w:rsidR="003B41C3" w:rsidRDefault="003B41C3" w:rsidP="003B41C3">
      <w:pPr>
        <w:pStyle w:val="Prrafodelista"/>
        <w:numPr>
          <w:ilvl w:val="0"/>
          <w:numId w:val="27"/>
        </w:numPr>
        <w:ind w:right="-283"/>
        <w:jc w:val="both"/>
        <w:rPr>
          <w:bCs/>
          <w:noProof/>
          <w:lang w:val="es-CO"/>
        </w:rPr>
      </w:pPr>
      <w:r w:rsidRPr="0080274B">
        <w:rPr>
          <w:bCs/>
          <w:noProof/>
          <w:lang w:val="es-CO"/>
        </w:rPr>
        <w:t xml:space="preserve">La Agencia ha presentado cerca </w:t>
      </w:r>
      <w:r w:rsidRPr="00FA6CB4">
        <w:rPr>
          <w:bCs/>
          <w:noProof/>
          <w:lang w:val="es-CO"/>
        </w:rPr>
        <w:t xml:space="preserve">de 60 </w:t>
      </w:r>
      <w:r w:rsidRPr="0080274B">
        <w:rPr>
          <w:bCs/>
          <w:noProof/>
          <w:lang w:val="es-CO"/>
        </w:rPr>
        <w:t xml:space="preserve">observaciones de admisibilidad y fondo ante la Comisión Interamericana de Derechos Humanos y dirigido la estrategia de defensa del Estado Colombiano en los tres casos sometidos a conocimiento de la Corte Interamericana de Derechos Humanos (Santo Domingo,  Operación Génesis y Palacio de Justicia). </w:t>
      </w:r>
    </w:p>
    <w:p w14:paraId="55C27196" w14:textId="77777777" w:rsidR="003B41C3" w:rsidRPr="0080274B" w:rsidRDefault="003B41C3" w:rsidP="003B41C3">
      <w:pPr>
        <w:pStyle w:val="Prrafodelista"/>
        <w:ind w:left="360" w:right="-283"/>
        <w:jc w:val="both"/>
        <w:rPr>
          <w:bCs/>
          <w:noProof/>
          <w:lang w:val="es-CO"/>
        </w:rPr>
      </w:pPr>
    </w:p>
    <w:p w14:paraId="1F8C6B99" w14:textId="77777777" w:rsidR="003B41C3" w:rsidRDefault="003B41C3" w:rsidP="003B41C3">
      <w:pPr>
        <w:pStyle w:val="Prrafodelista"/>
        <w:ind w:left="360" w:right="-283"/>
        <w:jc w:val="both"/>
        <w:rPr>
          <w:bCs/>
          <w:noProof/>
          <w:lang w:val="es-CO"/>
        </w:rPr>
      </w:pPr>
      <w:r w:rsidRPr="0080274B">
        <w:rPr>
          <w:bCs/>
          <w:noProof/>
          <w:lang w:val="es-CO"/>
        </w:rPr>
        <w:t>Para construir una defensa articulada, integral, coherente y que consulte todos los enfoques, ha realizado un importante ejercicio de cooperación interinstitucional y gestión de la información. En el Caso Santo Domingo, por ejemplo, la Corte Interamericana de Derechos Humanos reconoció que el Estado Colombiano había cumplido con el deber de investigar y esclarecer la verdad de lo sucedido, así como que los montos de los perjuicios materiales y morales reconocidos por la justicia contenciosa se ajustaban a los estándares interamericanos en materia de reparación integral.</w:t>
      </w:r>
    </w:p>
    <w:p w14:paraId="690899D5" w14:textId="77777777" w:rsidR="003B41C3" w:rsidRPr="0080274B" w:rsidRDefault="003B41C3" w:rsidP="003B41C3">
      <w:pPr>
        <w:pStyle w:val="Prrafodelista"/>
        <w:ind w:left="360" w:right="-283"/>
        <w:jc w:val="both"/>
        <w:rPr>
          <w:bCs/>
          <w:noProof/>
          <w:lang w:val="es-CO"/>
        </w:rPr>
      </w:pPr>
    </w:p>
    <w:p w14:paraId="0A0264A3" w14:textId="77777777" w:rsidR="003B41C3" w:rsidRDefault="003B41C3" w:rsidP="003B41C3">
      <w:pPr>
        <w:pStyle w:val="Prrafodelista"/>
        <w:numPr>
          <w:ilvl w:val="0"/>
          <w:numId w:val="27"/>
        </w:numPr>
        <w:ind w:right="-283"/>
        <w:jc w:val="both"/>
        <w:rPr>
          <w:bCs/>
          <w:noProof/>
          <w:lang w:val="es-CO"/>
        </w:rPr>
      </w:pPr>
      <w:r w:rsidRPr="0080274B">
        <w:rPr>
          <w:bCs/>
          <w:noProof/>
          <w:lang w:val="es-CO"/>
        </w:rPr>
        <w:t>La Agencia  también ha participado en las discusiones que se han dado desde la Unidad de Víctimas para la reparación colectiva de la UP.</w:t>
      </w:r>
    </w:p>
    <w:p w14:paraId="18DB760B" w14:textId="77777777" w:rsidR="003B41C3" w:rsidRPr="0080274B" w:rsidRDefault="003B41C3" w:rsidP="003B41C3">
      <w:pPr>
        <w:pStyle w:val="Prrafodelista"/>
        <w:ind w:left="360" w:right="-283"/>
        <w:jc w:val="both"/>
        <w:rPr>
          <w:bCs/>
          <w:noProof/>
          <w:lang w:val="es-CO"/>
        </w:rPr>
      </w:pPr>
    </w:p>
    <w:p w14:paraId="364C39A5" w14:textId="77777777" w:rsidR="003B41C3" w:rsidRDefault="003B41C3" w:rsidP="003B41C3">
      <w:pPr>
        <w:pStyle w:val="Prrafodelista"/>
        <w:numPr>
          <w:ilvl w:val="0"/>
          <w:numId w:val="27"/>
        </w:numPr>
        <w:ind w:right="-283"/>
        <w:jc w:val="both"/>
        <w:rPr>
          <w:bCs/>
          <w:noProof/>
          <w:lang w:val="es-CO"/>
        </w:rPr>
      </w:pPr>
      <w:r w:rsidRPr="0080274B">
        <w:rPr>
          <w:bCs/>
          <w:noProof/>
          <w:lang w:val="es-CO"/>
        </w:rPr>
        <w:t>La Agencia ha impulsado una política de promoción de soluciones amistosas, bajo el entendido, que esta forma de terminación anticipada del proceso, permite reestablecer la confianza en las instituciones y garantizar las reparaciones a que haya lugar, a partir de un trabajo directo y asertivo con víctimas y organizaciones.</w:t>
      </w:r>
    </w:p>
    <w:p w14:paraId="254C4AE1" w14:textId="77777777" w:rsidR="003B41C3" w:rsidRPr="0080274B" w:rsidRDefault="003B41C3" w:rsidP="003B41C3">
      <w:pPr>
        <w:pStyle w:val="Prrafodelista"/>
        <w:ind w:left="360" w:right="-283"/>
        <w:rPr>
          <w:bCs/>
          <w:noProof/>
          <w:lang w:val="es-CO"/>
        </w:rPr>
      </w:pPr>
    </w:p>
    <w:p w14:paraId="7AE16EB4" w14:textId="77777777" w:rsidR="003B41C3" w:rsidRPr="0080274B" w:rsidRDefault="003B41C3" w:rsidP="003B41C3">
      <w:pPr>
        <w:pStyle w:val="Prrafodelista"/>
        <w:ind w:left="360" w:right="-283"/>
        <w:jc w:val="both"/>
        <w:rPr>
          <w:bCs/>
          <w:noProof/>
          <w:lang w:val="es-CO"/>
        </w:rPr>
      </w:pPr>
      <w:r w:rsidRPr="0080274B">
        <w:rPr>
          <w:bCs/>
          <w:noProof/>
          <w:lang w:val="es-CO"/>
        </w:rPr>
        <w:t>En  el marco del proceso de Fortalecimiento del Sistema Interamericano, la Agencia participó en la Primera Conferencia Interamericana de Derechos Humanos e Intercambio de Buenas Prácticas en Soluciones Amistosas, celebrada el 7 y 8 de junio de 2013 en La Antigua (Guatemala), y conforme a las nuevas metodologías adoptadas, adelanta acercamientos con los peticionarios en los Casos Alba Lucia Rodríguez Cardona P-12.376,  Oscar Orlando Bueno Bonet P-11.990 y Masacre de Trujillo P-11.007.</w:t>
      </w:r>
    </w:p>
    <w:p w14:paraId="3560EED8" w14:textId="77777777" w:rsidR="003B41C3" w:rsidRPr="009C0C18" w:rsidRDefault="003B41C3" w:rsidP="003B41C3">
      <w:pPr>
        <w:ind w:left="360" w:right="-283"/>
        <w:jc w:val="both"/>
        <w:rPr>
          <w:bCs/>
          <w:noProof/>
          <w:lang w:val="es-CO"/>
        </w:rPr>
      </w:pPr>
      <w:r>
        <w:rPr>
          <w:bCs/>
          <w:noProof/>
          <w:lang w:val="es-CO"/>
        </w:rPr>
        <w:t xml:space="preserve">Por otra parte, los retos que ha identificado la </w:t>
      </w:r>
      <w:r w:rsidRPr="009C0C18">
        <w:rPr>
          <w:bCs/>
          <w:noProof/>
          <w:lang w:val="es-CO"/>
        </w:rPr>
        <w:t>Agencia en mater</w:t>
      </w:r>
      <w:r>
        <w:rPr>
          <w:bCs/>
          <w:noProof/>
          <w:lang w:val="es-CO"/>
        </w:rPr>
        <w:t xml:space="preserve">ia de defensa internacional son los siguientes: </w:t>
      </w:r>
    </w:p>
    <w:p w14:paraId="62B7AD42" w14:textId="77777777" w:rsidR="003B41C3" w:rsidRDefault="003B41C3" w:rsidP="003B41C3">
      <w:pPr>
        <w:pStyle w:val="Prrafodelista"/>
        <w:numPr>
          <w:ilvl w:val="0"/>
          <w:numId w:val="28"/>
        </w:numPr>
        <w:ind w:right="-283"/>
        <w:jc w:val="both"/>
        <w:rPr>
          <w:bCs/>
          <w:noProof/>
          <w:lang w:val="es-CO"/>
        </w:rPr>
      </w:pPr>
      <w:r w:rsidRPr="007725B6">
        <w:rPr>
          <w:bCs/>
          <w:noProof/>
          <w:lang w:val="es-CO"/>
        </w:rPr>
        <w:t>La Agencia propugna por la efectiva inserción de estándares de justicia transicional y paz negociada en el discurso interamericano. Suscitar una vasta y profunda reflexión sobre las fortalezas, vacíos y falencias del Estado, que contribuya a la transformación de las instituciones y converja a la consecución de las garantías de no repetición frente a violaciones de derechos humanos y derecho internacional humanitario es nuestro principal reto.</w:t>
      </w:r>
    </w:p>
    <w:p w14:paraId="3B7EA02F" w14:textId="77777777" w:rsidR="003B41C3" w:rsidRPr="007725B6" w:rsidRDefault="003B41C3" w:rsidP="003B41C3">
      <w:pPr>
        <w:pStyle w:val="Prrafodelista"/>
        <w:ind w:left="360" w:right="-283"/>
        <w:jc w:val="both"/>
        <w:rPr>
          <w:bCs/>
          <w:noProof/>
          <w:lang w:val="es-CO"/>
        </w:rPr>
      </w:pPr>
    </w:p>
    <w:p w14:paraId="03D3F170" w14:textId="77777777" w:rsidR="003B41C3" w:rsidRDefault="003B41C3" w:rsidP="003B41C3">
      <w:pPr>
        <w:pStyle w:val="Prrafodelista"/>
        <w:numPr>
          <w:ilvl w:val="0"/>
          <w:numId w:val="28"/>
        </w:numPr>
        <w:ind w:right="-283"/>
        <w:jc w:val="both"/>
        <w:rPr>
          <w:bCs/>
          <w:noProof/>
          <w:lang w:val="es-CO"/>
        </w:rPr>
      </w:pPr>
      <w:r w:rsidRPr="00912377">
        <w:rPr>
          <w:bCs/>
          <w:noProof/>
          <w:lang w:val="es-CO"/>
        </w:rPr>
        <w:t xml:space="preserve">Adicionalmente, la Agencia desea edificar una defensa jurídica del Estado colombiano que visibilice, respete, reivindique y dignifique el dolor de las víctimas, al tiempo que coadyuve a la reconciliación nacional y la recuperación del tejido social. Por ello, la formulación de  líneas de comunicación con peticionarios, víctimas, organizaciones, instituciones y sociedad civil es otro de nuestros importantes desafíos. </w:t>
      </w:r>
    </w:p>
    <w:p w14:paraId="74E1F84D" w14:textId="77777777" w:rsidR="003B41C3" w:rsidRPr="00912377" w:rsidRDefault="003B41C3" w:rsidP="003B41C3">
      <w:pPr>
        <w:pStyle w:val="Prrafodelista"/>
        <w:ind w:left="0" w:right="-283"/>
        <w:rPr>
          <w:bCs/>
          <w:noProof/>
          <w:lang w:val="es-CO"/>
        </w:rPr>
      </w:pPr>
    </w:p>
    <w:p w14:paraId="1BFF9F08" w14:textId="77777777" w:rsidR="003B41C3" w:rsidRPr="001329FF" w:rsidRDefault="003B41C3" w:rsidP="003B41C3">
      <w:pPr>
        <w:pStyle w:val="Prrafodelista"/>
        <w:numPr>
          <w:ilvl w:val="0"/>
          <w:numId w:val="66"/>
        </w:numPr>
        <w:ind w:left="284" w:right="-283" w:hanging="284"/>
        <w:jc w:val="both"/>
        <w:rPr>
          <w:b/>
          <w:bCs/>
          <w:noProof/>
          <w:lang w:val="es-CO"/>
        </w:rPr>
      </w:pPr>
      <w:r w:rsidRPr="001329FF">
        <w:rPr>
          <w:b/>
          <w:noProof/>
          <w:lang w:val="es-CO" w:eastAsia="es-CO"/>
        </w:rPr>
        <w:t>INFORME SOBRE EL COMPORTAMIENTO DE LA CONCILIACIÓN EXTRAJUDICIAL</w:t>
      </w:r>
    </w:p>
    <w:p w14:paraId="3884AF87" w14:textId="77777777" w:rsidR="003B41C3" w:rsidRDefault="003B41C3" w:rsidP="003B41C3">
      <w:pPr>
        <w:ind w:right="-239"/>
        <w:jc w:val="both"/>
        <w:rPr>
          <w:iCs/>
        </w:rPr>
      </w:pPr>
      <w:r w:rsidRPr="00980EA1">
        <w:t xml:space="preserve">El Formato Único de Información </w:t>
      </w:r>
      <w:r w:rsidRPr="00980EA1">
        <w:rPr>
          <w:iCs/>
        </w:rPr>
        <w:t>Litigiosa y Conciliaciones</w:t>
      </w:r>
      <w:r>
        <w:rPr>
          <w:iCs/>
        </w:rPr>
        <w:t xml:space="preserve"> -</w:t>
      </w:r>
      <w:r w:rsidRPr="00980EA1">
        <w:rPr>
          <w:iCs/>
        </w:rPr>
        <w:t xml:space="preserve"> FUGCC, previsto en el</w:t>
      </w:r>
      <w:r>
        <w:rPr>
          <w:iCs/>
        </w:rPr>
        <w:t xml:space="preserve"> a</w:t>
      </w:r>
      <w:r w:rsidRPr="00980EA1">
        <w:rPr>
          <w:iCs/>
        </w:rPr>
        <w:t xml:space="preserve">rtículo 25 del Decreto 1716 de 2009, es la herramienta empleada para la recolección </w:t>
      </w:r>
      <w:r>
        <w:rPr>
          <w:iCs/>
        </w:rPr>
        <w:t>d</w:t>
      </w:r>
      <w:r w:rsidRPr="00980EA1">
        <w:rPr>
          <w:iCs/>
        </w:rPr>
        <w:t xml:space="preserve">e información relativa al mecanismo de conciliación extrajudicial como requisito de </w:t>
      </w:r>
      <w:proofErr w:type="spellStart"/>
      <w:r w:rsidRPr="00980EA1">
        <w:rPr>
          <w:iCs/>
        </w:rPr>
        <w:t>procedibilidad</w:t>
      </w:r>
      <w:proofErr w:type="spellEnd"/>
      <w:r w:rsidRPr="00980EA1">
        <w:rPr>
          <w:iCs/>
        </w:rPr>
        <w:t xml:space="preserve"> en l</w:t>
      </w:r>
      <w:r>
        <w:rPr>
          <w:iCs/>
        </w:rPr>
        <w:t>a Jurisdicción de lo C</w:t>
      </w:r>
      <w:r w:rsidRPr="00980EA1">
        <w:rPr>
          <w:iCs/>
        </w:rPr>
        <w:t xml:space="preserve">ontencioso </w:t>
      </w:r>
      <w:r>
        <w:rPr>
          <w:iCs/>
        </w:rPr>
        <w:t>A</w:t>
      </w:r>
      <w:r w:rsidRPr="00980EA1">
        <w:rPr>
          <w:iCs/>
        </w:rPr>
        <w:t xml:space="preserve">dministrativo. </w:t>
      </w:r>
    </w:p>
    <w:p w14:paraId="554E9BAB" w14:textId="77777777" w:rsidR="003B41C3" w:rsidRPr="00980EA1" w:rsidRDefault="003B41C3" w:rsidP="003B41C3">
      <w:pPr>
        <w:ind w:right="-283"/>
        <w:jc w:val="both"/>
      </w:pPr>
      <w:r w:rsidRPr="00980EA1">
        <w:rPr>
          <w:iCs/>
        </w:rPr>
        <w:t>El FUGCC</w:t>
      </w:r>
      <w:r>
        <w:rPr>
          <w:iCs/>
        </w:rPr>
        <w:t xml:space="preserve"> </w:t>
      </w:r>
      <w:r w:rsidRPr="00980EA1">
        <w:rPr>
          <w:iCs/>
        </w:rPr>
        <w:t xml:space="preserve">de acuerdo </w:t>
      </w:r>
      <w:r>
        <w:rPr>
          <w:iCs/>
        </w:rPr>
        <w:t>con e</w:t>
      </w:r>
      <w:r w:rsidRPr="00980EA1">
        <w:rPr>
          <w:iCs/>
        </w:rPr>
        <w:t xml:space="preserve">l diseño establecido en su momento por la Dirección de Defensa Jurídica del Estado (DDJ) del Ministerio de Interior y de Justicia, consta de cuatro </w:t>
      </w:r>
      <w:r>
        <w:rPr>
          <w:iCs/>
        </w:rPr>
        <w:t xml:space="preserve">folios </w:t>
      </w:r>
      <w:r w:rsidRPr="00980EA1">
        <w:rPr>
          <w:iCs/>
        </w:rPr>
        <w:t>que se recogen los siguientes aspectos: (i) información general de las entidades, así como de las</w:t>
      </w:r>
      <w:r w:rsidRPr="00980EA1">
        <w:t xml:space="preserve"> políticas de prevención del daño antijurídico y de defensa jurídica que se hayan formulado (Hoja 1)</w:t>
      </w:r>
      <w:r w:rsidRPr="00980EA1">
        <w:rPr>
          <w:iCs/>
        </w:rPr>
        <w:t xml:space="preserve">; (ii) relación de conciliaciones y </w:t>
      </w:r>
      <w:r w:rsidRPr="00980EA1">
        <w:t xml:space="preserve">otros mecanismos alternativos de solución de conflictos que se hayan empleado (Hoja 2); y (iii)  relación  de las </w:t>
      </w:r>
      <w:r w:rsidRPr="00980EA1">
        <w:rPr>
          <w:iCs/>
        </w:rPr>
        <w:t xml:space="preserve">acciones de repetición y llamamientos en garantía con fines de repetición que se hubiesen surtido (Hojas 3 y 4). </w:t>
      </w:r>
    </w:p>
    <w:p w14:paraId="43B6CFDB" w14:textId="77777777" w:rsidR="003B41C3" w:rsidRDefault="003B41C3" w:rsidP="003B41C3">
      <w:pPr>
        <w:ind w:right="-283"/>
        <w:jc w:val="both"/>
      </w:pPr>
      <w:r w:rsidRPr="00980EA1">
        <w:rPr>
          <w:iCs/>
        </w:rPr>
        <w:t>En cumplimiento</w:t>
      </w:r>
      <w:r>
        <w:rPr>
          <w:iCs/>
        </w:rPr>
        <w:t xml:space="preserve"> de</w:t>
      </w:r>
      <w:r w:rsidRPr="00980EA1">
        <w:rPr>
          <w:iCs/>
        </w:rPr>
        <w:t xml:space="preserve"> lo establecido por el citado artículo 25, las entidades deben  </w:t>
      </w:r>
      <w:r w:rsidRPr="00980EA1">
        <w:t>diligenciar y remitir semestralmente el formulario FUGCC a la DDJE. Según lo dispu</w:t>
      </w:r>
      <w:r>
        <w:t>so</w:t>
      </w:r>
      <w:r w:rsidRPr="00980EA1">
        <w:t xml:space="preserve"> la DDJE a través de las circulares externas Nos. 234 de junio de 2009 y 304 de diciembre de 2009,</w:t>
      </w:r>
      <w:r w:rsidRPr="00980EA1">
        <w:rPr>
          <w:iCs/>
        </w:rPr>
        <w:t xml:space="preserve"> </w:t>
      </w:r>
      <w:r w:rsidRPr="00980EA1">
        <w:t>el formulario debe ser presentado semestralmente</w:t>
      </w:r>
      <w:r>
        <w:t>, en e</w:t>
      </w:r>
      <w:r w:rsidRPr="00980EA1">
        <w:t xml:space="preserve">l primer semestre del año antes del 15 de julio, y en el segundo semestre antes del 31 de enero. </w:t>
      </w:r>
    </w:p>
    <w:p w14:paraId="5750CB24" w14:textId="77777777" w:rsidR="003B41C3" w:rsidRPr="00980EA1" w:rsidRDefault="003B41C3" w:rsidP="003B41C3">
      <w:pPr>
        <w:ind w:right="-283"/>
        <w:jc w:val="both"/>
        <w:rPr>
          <w:iCs/>
        </w:rPr>
      </w:pPr>
      <w:r w:rsidRPr="00980EA1">
        <w:t xml:space="preserve">Tal y como lo venía haciendo </w:t>
      </w:r>
      <w:r>
        <w:t xml:space="preserve">dicha Dirección, </w:t>
      </w:r>
      <w:r w:rsidRPr="00980EA1">
        <w:t xml:space="preserve">la Agencia dispuso que el formulario debidamente diligenciado </w:t>
      </w:r>
      <w:r>
        <w:t xml:space="preserve">se enviara </w:t>
      </w:r>
      <w:r w:rsidRPr="00980EA1">
        <w:t xml:space="preserve">electrónicamente al correo </w:t>
      </w:r>
      <w:hyperlink r:id="rId19" w:history="1">
        <w:r w:rsidRPr="00980EA1">
          <w:rPr>
            <w:rStyle w:val="Hipervnculo"/>
            <w:rFonts w:cs="Arial"/>
          </w:rPr>
          <w:t>estadisticas@defensajuridica.gov.co</w:t>
        </w:r>
      </w:hyperlink>
      <w:r w:rsidRPr="00980EA1">
        <w:rPr>
          <w:rStyle w:val="Hipervnculo"/>
          <w:rFonts w:cs="Arial"/>
        </w:rPr>
        <w:t>,</w:t>
      </w:r>
      <w:r w:rsidRPr="00980EA1">
        <w:t xml:space="preserve"> el cual es administrado por la Dirección de Gestión de Información.</w:t>
      </w:r>
    </w:p>
    <w:p w14:paraId="518E01F6" w14:textId="77777777" w:rsidR="003B41C3" w:rsidRPr="00980EA1" w:rsidRDefault="003B41C3" w:rsidP="003B41C3">
      <w:pPr>
        <w:ind w:right="-283"/>
        <w:jc w:val="both"/>
      </w:pPr>
      <w:r w:rsidRPr="00980EA1">
        <w:t>Cabe señalar, que la Agencia ha recibido la información del FUGCC correspondiente al segundo semestre del año 2012, y a la fecha, aún recibe la</w:t>
      </w:r>
      <w:r>
        <w:t xml:space="preserve"> información</w:t>
      </w:r>
      <w:r w:rsidRPr="00980EA1">
        <w:t xml:space="preserve"> correspondiente al primer semestre de 2013. Para el año 2014, a partir de la implementación del Sistema Único de Gestión e Información de la Actividad Litigiosa de la Nación, previsto en el numeral 4 del artículo 6 del Decreto Ley 4085 de 2011, se proyecta recaudar la información de manera integral junto con la de los procesos judiciales que se adelanten en contra de la Nación, que hoy se recopila a través de Litigob.</w:t>
      </w:r>
    </w:p>
    <w:p w14:paraId="4FEE2B0F" w14:textId="77777777" w:rsidR="003B41C3" w:rsidRPr="00E46994" w:rsidRDefault="003B41C3" w:rsidP="003B41C3">
      <w:pPr>
        <w:ind w:right="-283"/>
        <w:jc w:val="both"/>
        <w:rPr>
          <w:b/>
        </w:rPr>
      </w:pPr>
      <w:r w:rsidRPr="00E46994">
        <w:rPr>
          <w:b/>
        </w:rPr>
        <w:t>6.1</w:t>
      </w:r>
      <w:r w:rsidRPr="00E46994">
        <w:rPr>
          <w:b/>
        </w:rPr>
        <w:tab/>
        <w:t>Información recaudada en el FUGCC.</w:t>
      </w:r>
    </w:p>
    <w:p w14:paraId="7EF6BF7A" w14:textId="77777777" w:rsidR="003B41C3" w:rsidRDefault="003B41C3" w:rsidP="003B41C3">
      <w:pPr>
        <w:ind w:right="-283"/>
        <w:jc w:val="both"/>
        <w:rPr>
          <w:rFonts w:eastAsia="Times New Roman"/>
          <w:iCs/>
          <w:lang w:eastAsia="es-CO"/>
        </w:rPr>
      </w:pPr>
      <w:r>
        <w:rPr>
          <w:rFonts w:eastAsia="Times New Roman"/>
          <w:iCs/>
          <w:lang w:eastAsia="es-CO"/>
        </w:rPr>
        <w:lastRenderedPageBreak/>
        <w:t xml:space="preserve">De acuerdo con la información que maneja la Dirección de Gestión de Información,  las </w:t>
      </w:r>
      <w:r w:rsidRPr="00980EA1">
        <w:rPr>
          <w:rFonts w:eastAsia="Times New Roman"/>
          <w:iCs/>
          <w:lang w:eastAsia="es-CO"/>
        </w:rPr>
        <w:t xml:space="preserve">entidades </w:t>
      </w:r>
      <w:r>
        <w:rPr>
          <w:rFonts w:eastAsia="Times New Roman"/>
          <w:iCs/>
          <w:lang w:eastAsia="es-CO"/>
        </w:rPr>
        <w:t xml:space="preserve">públicas </w:t>
      </w:r>
      <w:r w:rsidRPr="00980EA1">
        <w:rPr>
          <w:rFonts w:eastAsia="Times New Roman"/>
          <w:iCs/>
          <w:lang w:eastAsia="es-CO"/>
        </w:rPr>
        <w:t xml:space="preserve">que a partir del primer semestre del año 2012 deben diligenciar el FUGCC y reportar la información a la Agencia Nacional de Defensa Jurídica del Estado, </w:t>
      </w:r>
      <w:r>
        <w:rPr>
          <w:rFonts w:eastAsia="Times New Roman"/>
          <w:iCs/>
          <w:lang w:eastAsia="es-CO"/>
        </w:rPr>
        <w:t>son 347.</w:t>
      </w:r>
      <w:r w:rsidRPr="00980EA1">
        <w:rPr>
          <w:rFonts w:eastAsia="Times New Roman"/>
          <w:iCs/>
          <w:lang w:eastAsia="es-CO"/>
        </w:rPr>
        <w:t xml:space="preserve"> </w:t>
      </w:r>
      <w:r>
        <w:rPr>
          <w:rFonts w:eastAsia="Times New Roman"/>
          <w:iCs/>
          <w:lang w:eastAsia="es-CO"/>
        </w:rPr>
        <w:t xml:space="preserve"> </w:t>
      </w:r>
    </w:p>
    <w:p w14:paraId="5B1CB423" w14:textId="77777777" w:rsidR="003B41C3" w:rsidRPr="00980EA1" w:rsidRDefault="003B41C3" w:rsidP="003B41C3">
      <w:pPr>
        <w:ind w:right="-283"/>
        <w:jc w:val="both"/>
        <w:rPr>
          <w:rFonts w:eastAsia="Times New Roman"/>
          <w:iCs/>
          <w:lang w:eastAsia="es-CO"/>
        </w:rPr>
      </w:pPr>
      <w:r w:rsidRPr="00980EA1">
        <w:rPr>
          <w:rFonts w:eastAsia="Times New Roman"/>
          <w:iCs/>
          <w:lang w:eastAsia="es-CO"/>
        </w:rPr>
        <w:t>Revisada la información reportada, se enc</w:t>
      </w:r>
      <w:r>
        <w:rPr>
          <w:rFonts w:eastAsia="Times New Roman"/>
          <w:iCs/>
          <w:lang w:eastAsia="es-CO"/>
        </w:rPr>
        <w:t>ontró</w:t>
      </w:r>
      <w:r w:rsidRPr="00980EA1">
        <w:rPr>
          <w:rFonts w:eastAsia="Times New Roman"/>
          <w:iCs/>
          <w:lang w:eastAsia="es-CO"/>
        </w:rPr>
        <w:t xml:space="preserve"> que de </w:t>
      </w:r>
      <w:r>
        <w:rPr>
          <w:rFonts w:eastAsia="Times New Roman"/>
          <w:iCs/>
          <w:lang w:eastAsia="es-CO"/>
        </w:rPr>
        <w:t xml:space="preserve">las </w:t>
      </w:r>
      <w:r w:rsidRPr="00980EA1">
        <w:rPr>
          <w:rFonts w:eastAsia="Times New Roman"/>
          <w:iCs/>
          <w:lang w:eastAsia="es-CO"/>
        </w:rPr>
        <w:t>347 entidades</w:t>
      </w:r>
      <w:r>
        <w:rPr>
          <w:rFonts w:eastAsia="Times New Roman"/>
          <w:iCs/>
          <w:lang w:eastAsia="es-CO"/>
        </w:rPr>
        <w:t xml:space="preserve"> obligadas a enviar información FUGCC</w:t>
      </w:r>
      <w:r w:rsidRPr="00980EA1">
        <w:rPr>
          <w:rFonts w:eastAsia="Times New Roman"/>
          <w:iCs/>
          <w:lang w:eastAsia="es-CO"/>
        </w:rPr>
        <w:t xml:space="preserve">, </w:t>
      </w:r>
      <w:r>
        <w:rPr>
          <w:rFonts w:eastAsia="Times New Roman"/>
          <w:iCs/>
          <w:lang w:eastAsia="es-CO"/>
        </w:rPr>
        <w:t xml:space="preserve">únicamente cumplieron con el reporte conciliación y MASC </w:t>
      </w:r>
      <w:r w:rsidRPr="00980EA1">
        <w:rPr>
          <w:rFonts w:eastAsia="Times New Roman"/>
          <w:iCs/>
          <w:lang w:eastAsia="es-CO"/>
        </w:rPr>
        <w:t xml:space="preserve">180 </w:t>
      </w:r>
      <w:r>
        <w:rPr>
          <w:rFonts w:eastAsia="Times New Roman"/>
          <w:iCs/>
          <w:lang w:eastAsia="es-CO"/>
        </w:rPr>
        <w:t xml:space="preserve">entidades, </w:t>
      </w:r>
      <w:r w:rsidRPr="00980EA1">
        <w:rPr>
          <w:rFonts w:eastAsia="Times New Roman"/>
          <w:iCs/>
          <w:lang w:eastAsia="es-CO"/>
        </w:rPr>
        <w:t>lo cual supone un cumplimiento del 52%, como se o</w:t>
      </w:r>
      <w:r>
        <w:rPr>
          <w:rFonts w:eastAsia="Times New Roman"/>
          <w:iCs/>
          <w:lang w:eastAsia="es-CO"/>
        </w:rPr>
        <w:t xml:space="preserve">bserva en el </w:t>
      </w:r>
      <w:r w:rsidRPr="00E46994">
        <w:rPr>
          <w:rFonts w:eastAsia="Times New Roman"/>
          <w:iCs/>
          <w:lang w:eastAsia="es-CO"/>
        </w:rPr>
        <w:t xml:space="preserve">gráfico 7.  </w:t>
      </w:r>
    </w:p>
    <w:p w14:paraId="773796A0" w14:textId="77777777" w:rsidR="003B41C3" w:rsidRPr="00E46994" w:rsidRDefault="003B41C3" w:rsidP="003B41C3">
      <w:pPr>
        <w:ind w:right="-283"/>
        <w:jc w:val="center"/>
        <w:rPr>
          <w:rFonts w:eastAsia="Times New Roman" w:cs="Arial"/>
          <w:b/>
          <w:iCs/>
          <w:sz w:val="20"/>
          <w:szCs w:val="20"/>
          <w:lang w:eastAsia="es-CO"/>
        </w:rPr>
      </w:pPr>
      <w:r w:rsidRPr="00E46994">
        <w:rPr>
          <w:rFonts w:eastAsia="Times New Roman" w:cs="Arial"/>
          <w:b/>
          <w:iCs/>
          <w:sz w:val="20"/>
          <w:szCs w:val="20"/>
          <w:lang w:eastAsia="es-CO"/>
        </w:rPr>
        <w:t>Gráfico 7. Porcentaje de entidades que reportan información al FUGCC</w:t>
      </w:r>
    </w:p>
    <w:p w14:paraId="2A9A7841" w14:textId="77777777" w:rsidR="003B41C3" w:rsidRPr="00980EA1" w:rsidRDefault="003B41C3" w:rsidP="003B41C3">
      <w:pPr>
        <w:jc w:val="both"/>
        <w:rPr>
          <w:rFonts w:eastAsia="Times New Roman" w:cs="Arial"/>
          <w:iCs/>
          <w:color w:val="FF0000"/>
          <w:lang w:eastAsia="es-CO"/>
        </w:rPr>
      </w:pPr>
      <w:r w:rsidRPr="00980EA1">
        <w:rPr>
          <w:noProof/>
          <w:lang w:val="es-CO" w:eastAsia="es-CO"/>
        </w:rPr>
        <w:drawing>
          <wp:inline distT="0" distB="0" distL="0" distR="0" wp14:anchorId="0DC22E05" wp14:editId="6D6C3355">
            <wp:extent cx="5589917" cy="2105025"/>
            <wp:effectExtent l="0" t="0" r="1079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042078" w14:textId="77777777" w:rsidR="003B41C3" w:rsidRPr="00E973D6" w:rsidRDefault="003B41C3" w:rsidP="003B41C3">
      <w:pPr>
        <w:ind w:right="-283"/>
        <w:jc w:val="center"/>
        <w:rPr>
          <w:rFonts w:eastAsia="Times New Roman" w:cs="Arial"/>
          <w:b/>
          <w:iCs/>
          <w:sz w:val="20"/>
          <w:szCs w:val="20"/>
          <w:lang w:eastAsia="es-CO"/>
        </w:rPr>
      </w:pPr>
      <w:r w:rsidRPr="00E973D6">
        <w:rPr>
          <w:rFonts w:eastAsia="Times New Roman" w:cs="Arial"/>
          <w:b/>
          <w:iCs/>
          <w:sz w:val="20"/>
          <w:szCs w:val="20"/>
          <w:lang w:eastAsia="es-CO"/>
        </w:rPr>
        <w:t>Fuente: Base FUGCC, 2 semestre del 2012, cálculos DPE.</w:t>
      </w:r>
    </w:p>
    <w:p w14:paraId="505E60AD" w14:textId="77777777" w:rsidR="003B41C3" w:rsidRPr="00980EA1" w:rsidRDefault="003B41C3" w:rsidP="003B41C3">
      <w:pPr>
        <w:ind w:right="-283"/>
        <w:jc w:val="both"/>
        <w:rPr>
          <w:rFonts w:eastAsia="Times New Roman" w:cs="Arial"/>
          <w:iCs/>
          <w:lang w:eastAsia="es-CO"/>
        </w:rPr>
      </w:pPr>
      <w:r w:rsidRPr="00980EA1">
        <w:rPr>
          <w:rFonts w:eastAsia="Times New Roman" w:cs="Arial"/>
          <w:iCs/>
          <w:lang w:eastAsia="es-CO"/>
        </w:rPr>
        <w:t xml:space="preserve">De las 180 entidades que enviaron el formulario, tan sólo 52 entidades, </w:t>
      </w:r>
      <w:r>
        <w:rPr>
          <w:rFonts w:eastAsia="Times New Roman" w:cs="Arial"/>
          <w:iCs/>
          <w:lang w:eastAsia="es-CO"/>
        </w:rPr>
        <w:t xml:space="preserve">es decir </w:t>
      </w:r>
      <w:r w:rsidRPr="00980EA1">
        <w:rPr>
          <w:rFonts w:eastAsia="Times New Roman" w:cs="Arial"/>
          <w:iCs/>
          <w:lang w:eastAsia="es-CO"/>
        </w:rPr>
        <w:t>el 29%, diligenciaron de manera completa la hoja 2 correspondiente a la “Relación de conciliaciones y otros mecanismos alternativos de solución de conflictos, MASC</w:t>
      </w:r>
      <w:r>
        <w:rPr>
          <w:rFonts w:eastAsia="Times New Roman" w:cs="Arial"/>
          <w:iCs/>
          <w:lang w:eastAsia="es-CO"/>
        </w:rPr>
        <w:t>.</w:t>
      </w:r>
      <w:r w:rsidRPr="00980EA1">
        <w:rPr>
          <w:rFonts w:eastAsia="Times New Roman" w:cs="Arial"/>
          <w:iCs/>
          <w:lang w:eastAsia="es-CO"/>
        </w:rPr>
        <w:t xml:space="preserve"> </w:t>
      </w:r>
      <w:r>
        <w:rPr>
          <w:rFonts w:eastAsia="Times New Roman" w:cs="Arial"/>
          <w:iCs/>
          <w:lang w:eastAsia="es-CO"/>
        </w:rPr>
        <w:t xml:space="preserve"> Las </w:t>
      </w:r>
      <w:r w:rsidRPr="00980EA1">
        <w:rPr>
          <w:rFonts w:eastAsia="Times New Roman" w:cs="Arial"/>
          <w:iCs/>
          <w:lang w:eastAsia="es-CO"/>
        </w:rPr>
        <w:t>130 entidades restantes</w:t>
      </w:r>
      <w:r>
        <w:rPr>
          <w:rFonts w:eastAsia="Times New Roman" w:cs="Arial"/>
          <w:iCs/>
          <w:lang w:eastAsia="es-CO"/>
        </w:rPr>
        <w:t xml:space="preserve">, representando el 71%, diligenciaron el </w:t>
      </w:r>
      <w:r w:rsidRPr="00980EA1">
        <w:rPr>
          <w:rFonts w:eastAsia="Times New Roman" w:cs="Arial"/>
          <w:iCs/>
          <w:lang w:eastAsia="es-CO"/>
        </w:rPr>
        <w:t>formulario de forma incompleta</w:t>
      </w:r>
      <w:r>
        <w:rPr>
          <w:rFonts w:eastAsia="Times New Roman" w:cs="Arial"/>
          <w:iCs/>
          <w:lang w:eastAsia="es-CO"/>
        </w:rPr>
        <w:t>.</w:t>
      </w:r>
    </w:p>
    <w:p w14:paraId="4FAFB8D2" w14:textId="77777777" w:rsidR="003B41C3" w:rsidRDefault="003B41C3" w:rsidP="003B41C3">
      <w:pPr>
        <w:ind w:right="-283"/>
        <w:jc w:val="both"/>
        <w:rPr>
          <w:rFonts w:eastAsia="Times New Roman" w:cs="Arial"/>
          <w:iCs/>
          <w:color w:val="FF0000"/>
          <w:lang w:eastAsia="es-CO"/>
        </w:rPr>
      </w:pPr>
      <w:r>
        <w:rPr>
          <w:rFonts w:eastAsia="Times New Roman" w:cs="Arial"/>
          <w:iCs/>
          <w:lang w:eastAsia="es-CO"/>
        </w:rPr>
        <w:t xml:space="preserve">Por otra parte, de las </w:t>
      </w:r>
      <w:r w:rsidRPr="00980EA1">
        <w:rPr>
          <w:rFonts w:eastAsia="Times New Roman" w:cs="Arial"/>
          <w:iCs/>
          <w:lang w:eastAsia="es-CO"/>
        </w:rPr>
        <w:t xml:space="preserve">180 entidades que reportaron información, 31 dicen contar </w:t>
      </w:r>
      <w:r>
        <w:rPr>
          <w:rFonts w:eastAsia="Times New Roman" w:cs="Arial"/>
          <w:iCs/>
          <w:lang w:eastAsia="es-CO"/>
        </w:rPr>
        <w:t>con po</w:t>
      </w:r>
      <w:r w:rsidRPr="00980EA1">
        <w:rPr>
          <w:rFonts w:eastAsia="Times New Roman" w:cs="Arial"/>
          <w:iCs/>
          <w:lang w:eastAsia="es-CO"/>
        </w:rPr>
        <w:t>líticas de prevención y de defensa</w:t>
      </w:r>
      <w:r>
        <w:rPr>
          <w:rFonts w:eastAsia="Times New Roman" w:cs="Arial"/>
          <w:iCs/>
          <w:lang w:eastAsia="es-CO"/>
        </w:rPr>
        <w:t>,</w:t>
      </w:r>
      <w:r w:rsidRPr="00980EA1">
        <w:rPr>
          <w:rFonts w:eastAsia="Times New Roman" w:cs="Arial"/>
          <w:iCs/>
          <w:lang w:eastAsia="es-CO"/>
        </w:rPr>
        <w:t xml:space="preserve"> lo cual corresponde al 17,2%</w:t>
      </w:r>
      <w:r>
        <w:rPr>
          <w:rFonts w:eastAsia="Times New Roman" w:cs="Arial"/>
          <w:iCs/>
          <w:lang w:eastAsia="es-CO"/>
        </w:rPr>
        <w:t xml:space="preserve">, </w:t>
      </w:r>
      <w:r w:rsidRPr="00980EA1">
        <w:rPr>
          <w:rFonts w:eastAsia="Times New Roman" w:cs="Arial"/>
          <w:iCs/>
          <w:lang w:eastAsia="es-CO"/>
        </w:rPr>
        <w:t xml:space="preserve">como se observa en el </w:t>
      </w:r>
      <w:r w:rsidRPr="00E46994">
        <w:rPr>
          <w:rFonts w:eastAsia="Times New Roman" w:cs="Arial"/>
          <w:iCs/>
          <w:lang w:eastAsia="es-CO"/>
        </w:rPr>
        <w:t>Gráfico 8.</w:t>
      </w:r>
    </w:p>
    <w:p w14:paraId="23523751" w14:textId="77777777" w:rsidR="003B41C3" w:rsidRPr="00CC79C7" w:rsidRDefault="003B41C3" w:rsidP="003B41C3">
      <w:pPr>
        <w:jc w:val="center"/>
        <w:rPr>
          <w:rFonts w:eastAsia="Times New Roman" w:cs="Arial"/>
          <w:b/>
          <w:iCs/>
          <w:sz w:val="20"/>
          <w:szCs w:val="20"/>
          <w:lang w:eastAsia="es-CO"/>
        </w:rPr>
      </w:pPr>
      <w:r w:rsidRPr="00E46994">
        <w:rPr>
          <w:rFonts w:eastAsia="Times New Roman" w:cs="Arial"/>
          <w:b/>
          <w:iCs/>
          <w:sz w:val="20"/>
          <w:szCs w:val="20"/>
          <w:lang w:eastAsia="es-CO"/>
        </w:rPr>
        <w:t xml:space="preserve">Gráfico </w:t>
      </w:r>
      <w:proofErr w:type="gramStart"/>
      <w:r w:rsidRPr="00E46994">
        <w:rPr>
          <w:rFonts w:eastAsia="Times New Roman" w:cs="Arial"/>
          <w:b/>
          <w:iCs/>
          <w:sz w:val="20"/>
          <w:szCs w:val="20"/>
          <w:lang w:eastAsia="es-CO"/>
        </w:rPr>
        <w:t>8 :</w:t>
      </w:r>
      <w:proofErr w:type="gramEnd"/>
      <w:r w:rsidRPr="00E46994">
        <w:rPr>
          <w:rFonts w:eastAsia="Times New Roman" w:cs="Arial"/>
          <w:b/>
          <w:iCs/>
          <w:sz w:val="20"/>
          <w:szCs w:val="20"/>
          <w:lang w:eastAsia="es-CO"/>
        </w:rPr>
        <w:t xml:space="preserve"> </w:t>
      </w:r>
      <w:r w:rsidRPr="00CC79C7">
        <w:rPr>
          <w:rFonts w:eastAsia="Times New Roman" w:cs="Arial"/>
          <w:b/>
          <w:iCs/>
          <w:sz w:val="20"/>
          <w:szCs w:val="20"/>
          <w:lang w:eastAsia="es-CO"/>
        </w:rPr>
        <w:t xml:space="preserve">Porcentaje de entidades </w:t>
      </w:r>
      <w:r>
        <w:rPr>
          <w:rFonts w:eastAsia="Times New Roman" w:cs="Arial"/>
          <w:b/>
          <w:iCs/>
          <w:sz w:val="20"/>
          <w:szCs w:val="20"/>
          <w:lang w:eastAsia="es-CO"/>
        </w:rPr>
        <w:t xml:space="preserve">que reportan información al FUGCC y </w:t>
      </w:r>
      <w:r w:rsidRPr="00CC79C7">
        <w:rPr>
          <w:rFonts w:eastAsia="Times New Roman" w:cs="Arial"/>
          <w:b/>
          <w:iCs/>
          <w:sz w:val="20"/>
          <w:szCs w:val="20"/>
          <w:lang w:eastAsia="es-CO"/>
        </w:rPr>
        <w:t>que indican tener políticas de prevención y defensa</w:t>
      </w:r>
    </w:p>
    <w:p w14:paraId="2420EEE7" w14:textId="77777777" w:rsidR="003B41C3" w:rsidRPr="00980EA1" w:rsidRDefault="003B41C3" w:rsidP="003B41C3">
      <w:pPr>
        <w:jc w:val="both"/>
        <w:rPr>
          <w:rFonts w:eastAsia="Times New Roman" w:cs="Arial"/>
          <w:iCs/>
          <w:lang w:eastAsia="es-CO"/>
        </w:rPr>
      </w:pPr>
      <w:r w:rsidRPr="00980EA1">
        <w:rPr>
          <w:rFonts w:eastAsia="Times New Roman" w:cs="Arial"/>
          <w:iCs/>
          <w:lang w:eastAsia="es-CO"/>
        </w:rPr>
        <w:lastRenderedPageBreak/>
        <w:t>.</w:t>
      </w:r>
      <w:r w:rsidRPr="00980EA1">
        <w:rPr>
          <w:noProof/>
          <w:lang w:val="es-CO" w:eastAsia="es-CO"/>
        </w:rPr>
        <w:drawing>
          <wp:inline distT="0" distB="0" distL="0" distR="0" wp14:anchorId="6AFA2296" wp14:editId="3CEEE14D">
            <wp:extent cx="5276850" cy="2018581"/>
            <wp:effectExtent l="0" t="0" r="0" b="12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E79CA8B" w14:textId="77777777" w:rsidR="003B41C3" w:rsidRPr="00F46C9F" w:rsidRDefault="003B41C3" w:rsidP="003B41C3">
      <w:pPr>
        <w:ind w:right="-283"/>
        <w:jc w:val="center"/>
        <w:rPr>
          <w:rFonts w:eastAsia="Times New Roman" w:cs="Arial"/>
          <w:b/>
          <w:iCs/>
          <w:sz w:val="20"/>
          <w:szCs w:val="20"/>
          <w:lang w:eastAsia="es-CO"/>
        </w:rPr>
      </w:pPr>
      <w:r w:rsidRPr="00F46C9F">
        <w:rPr>
          <w:rFonts w:eastAsia="Times New Roman" w:cs="Arial"/>
          <w:b/>
          <w:iCs/>
          <w:sz w:val="20"/>
          <w:szCs w:val="20"/>
          <w:lang w:eastAsia="es-CO"/>
        </w:rPr>
        <w:t>Fuente: Base FUGCC, 2 semestre del 2012, cálculos DPE</w:t>
      </w:r>
    </w:p>
    <w:p w14:paraId="415BF9EF" w14:textId="77777777" w:rsidR="003B41C3" w:rsidRPr="00F46C9F" w:rsidRDefault="003B41C3" w:rsidP="003B41C3">
      <w:pPr>
        <w:ind w:right="-283"/>
        <w:jc w:val="both"/>
        <w:rPr>
          <w:rFonts w:eastAsia="Times New Roman" w:cs="Arial"/>
          <w:iCs/>
          <w:color w:val="FF0000"/>
          <w:lang w:eastAsia="es-CO"/>
        </w:rPr>
      </w:pPr>
      <w:r w:rsidRPr="00980EA1">
        <w:rPr>
          <w:rFonts w:eastAsia="Times New Roman" w:cs="Arial"/>
          <w:iCs/>
          <w:lang w:eastAsia="es-CO"/>
        </w:rPr>
        <w:t xml:space="preserve">A su vez, de las 31 entidades que reportaron contar con </w:t>
      </w:r>
      <w:r w:rsidRPr="00980EA1">
        <w:rPr>
          <w:rFonts w:eastAsia="Times New Roman" w:cs="Arial"/>
          <w:lang w:eastAsia="es-CO"/>
        </w:rPr>
        <w:t>políticas de Prevención y de Defensa</w:t>
      </w:r>
      <w:r>
        <w:rPr>
          <w:rFonts w:eastAsia="Times New Roman" w:cs="Arial"/>
          <w:iCs/>
          <w:lang w:eastAsia="es-CO"/>
        </w:rPr>
        <w:t xml:space="preserve">, sólo 17 de ellas anexaron algún tipo de soporte documental, representando un </w:t>
      </w:r>
      <w:r w:rsidRPr="00980EA1">
        <w:rPr>
          <w:rFonts w:eastAsia="Times New Roman" w:cs="Arial"/>
          <w:iCs/>
          <w:lang w:eastAsia="es-CO"/>
        </w:rPr>
        <w:t>54.8%</w:t>
      </w:r>
      <w:r>
        <w:rPr>
          <w:rFonts w:eastAsia="Times New Roman" w:cs="Arial"/>
          <w:iCs/>
          <w:lang w:eastAsia="es-CO"/>
        </w:rPr>
        <w:t xml:space="preserve"> de este grupo.</w:t>
      </w:r>
      <w:r w:rsidRPr="00980EA1">
        <w:rPr>
          <w:rFonts w:eastAsia="Times New Roman" w:cs="Arial"/>
          <w:iCs/>
          <w:lang w:eastAsia="es-CO"/>
        </w:rPr>
        <w:t xml:space="preserve"> </w:t>
      </w:r>
    </w:p>
    <w:p w14:paraId="00900B96" w14:textId="77777777" w:rsidR="003B41C3" w:rsidRPr="00980EA1" w:rsidRDefault="003B41C3" w:rsidP="003B41C3">
      <w:pPr>
        <w:ind w:right="-283"/>
        <w:jc w:val="both"/>
        <w:rPr>
          <w:rFonts w:cs="Arial"/>
          <w:bCs/>
        </w:rPr>
      </w:pPr>
      <w:r w:rsidRPr="00980EA1">
        <w:rPr>
          <w:rFonts w:cs="Arial"/>
          <w:bCs/>
        </w:rPr>
        <w:t xml:space="preserve">De los resultados expuestos, </w:t>
      </w:r>
      <w:r>
        <w:rPr>
          <w:rFonts w:cs="Arial"/>
          <w:bCs/>
        </w:rPr>
        <w:t>l</w:t>
      </w:r>
      <w:r w:rsidRPr="00980EA1">
        <w:rPr>
          <w:rFonts w:cs="Arial"/>
          <w:bCs/>
        </w:rPr>
        <w:t xml:space="preserve">a Agencia Nacional de Defensa Jurídica del Estado, </w:t>
      </w:r>
      <w:r>
        <w:rPr>
          <w:rFonts w:cs="Arial"/>
          <w:bCs/>
        </w:rPr>
        <w:t>concluye q</w:t>
      </w:r>
      <w:r w:rsidRPr="00980EA1">
        <w:rPr>
          <w:rFonts w:cs="Arial"/>
          <w:bCs/>
        </w:rPr>
        <w:t xml:space="preserve">ue el número de entidades que para el segundo semestre de 2012 diligenciaron de manera completa el formulario fue considerablemente bajo, tan solo del 29%. </w:t>
      </w:r>
      <w:r>
        <w:rPr>
          <w:rFonts w:cs="Arial"/>
          <w:bCs/>
        </w:rPr>
        <w:t>En consecuencia, y d</w:t>
      </w:r>
      <w:r w:rsidRPr="00980EA1">
        <w:rPr>
          <w:rFonts w:cs="Arial"/>
          <w:bCs/>
        </w:rPr>
        <w:t>ebido a la insuficiencia de la información reportada, no es posible realizar un diagnóstico conclu</w:t>
      </w:r>
      <w:r>
        <w:rPr>
          <w:rFonts w:cs="Arial"/>
          <w:bCs/>
        </w:rPr>
        <w:t xml:space="preserve">yente </w:t>
      </w:r>
      <w:r w:rsidRPr="00980EA1">
        <w:rPr>
          <w:rFonts w:cs="Arial"/>
          <w:bCs/>
        </w:rPr>
        <w:t>para este informe.</w:t>
      </w:r>
    </w:p>
    <w:p w14:paraId="31193117" w14:textId="77777777" w:rsidR="003B41C3" w:rsidRPr="00E46994" w:rsidRDefault="003B41C3" w:rsidP="003B41C3">
      <w:pPr>
        <w:pStyle w:val="Prrafodelista"/>
        <w:numPr>
          <w:ilvl w:val="1"/>
          <w:numId w:val="65"/>
        </w:numPr>
        <w:ind w:left="567" w:right="-283" w:hanging="567"/>
        <w:jc w:val="both"/>
        <w:rPr>
          <w:rFonts w:cs="Arial"/>
          <w:b/>
        </w:rPr>
      </w:pPr>
      <w:r w:rsidRPr="00E46994">
        <w:rPr>
          <w:rFonts w:cs="Arial"/>
          <w:b/>
          <w:bCs/>
        </w:rPr>
        <w:t xml:space="preserve">La </w:t>
      </w:r>
      <w:r w:rsidRPr="00E46994">
        <w:rPr>
          <w:rFonts w:cs="Arial"/>
          <w:b/>
        </w:rPr>
        <w:t xml:space="preserve">eficacia de la conciliación como requisito de </w:t>
      </w:r>
      <w:proofErr w:type="spellStart"/>
      <w:r w:rsidRPr="00E46994">
        <w:rPr>
          <w:rFonts w:cs="Arial"/>
          <w:b/>
        </w:rPr>
        <w:t>procedibilidad</w:t>
      </w:r>
      <w:proofErr w:type="spellEnd"/>
      <w:r w:rsidRPr="00E46994">
        <w:rPr>
          <w:rFonts w:cs="Arial"/>
          <w:b/>
        </w:rPr>
        <w:t xml:space="preserve"> en asuntos contencioso administrativos.</w:t>
      </w:r>
    </w:p>
    <w:p w14:paraId="2E7D10A8" w14:textId="77777777" w:rsidR="003B41C3" w:rsidRPr="00B768C0" w:rsidRDefault="003B41C3" w:rsidP="003B41C3">
      <w:pPr>
        <w:ind w:right="-283"/>
        <w:jc w:val="both"/>
        <w:rPr>
          <w:rFonts w:cs="Arial"/>
        </w:rPr>
      </w:pPr>
      <w:r w:rsidRPr="00B768C0">
        <w:rPr>
          <w:rFonts w:cs="Arial"/>
          <w:bCs/>
        </w:rPr>
        <w:t>Para evaluar la eficacia de la conciliación extrajudicial en asuntos contencioso administrativos, se cuenta en la actualidad con dos instrumentos activos de recaudo de información: el FUGCC y el seguimiento realizado a la figura por la Procuraduría General de la Nación, como entidad responsable de velar</w:t>
      </w:r>
      <w:r w:rsidRPr="00B768C0">
        <w:rPr>
          <w:rFonts w:cs="Arial"/>
        </w:rPr>
        <w:t xml:space="preserve"> por el cumplimiento de las funciones y políticas públicas en materia de situación litigiosa del Estado.</w:t>
      </w:r>
    </w:p>
    <w:p w14:paraId="0EF4BF15" w14:textId="77777777" w:rsidR="003B41C3" w:rsidRPr="00980EA1" w:rsidRDefault="003B41C3" w:rsidP="003B41C3">
      <w:pPr>
        <w:ind w:right="-283"/>
        <w:jc w:val="both"/>
        <w:rPr>
          <w:rFonts w:cs="Arial"/>
          <w:bCs/>
        </w:rPr>
      </w:pPr>
      <w:r>
        <w:rPr>
          <w:rFonts w:cs="Arial"/>
        </w:rPr>
        <w:t xml:space="preserve">Esta última información </w:t>
      </w:r>
      <w:r w:rsidRPr="00980EA1">
        <w:rPr>
          <w:rFonts w:cs="Arial"/>
        </w:rPr>
        <w:t>fue solicitada por la Agencia en la primera mitad del mes de octubre de 2013 para su respectiva revisión y análisis, pero a la fecha de presentación de este informe no ha sido remitida</w:t>
      </w:r>
      <w:r>
        <w:rPr>
          <w:rFonts w:cs="Arial"/>
        </w:rPr>
        <w:t xml:space="preserve"> por dicha entidad</w:t>
      </w:r>
      <w:r w:rsidRPr="00980EA1">
        <w:rPr>
          <w:rFonts w:cs="Arial"/>
        </w:rPr>
        <w:t>.</w:t>
      </w:r>
    </w:p>
    <w:p w14:paraId="5E5353BE" w14:textId="77777777" w:rsidR="003B41C3" w:rsidRPr="00980EA1" w:rsidRDefault="003B41C3" w:rsidP="003B41C3">
      <w:pPr>
        <w:ind w:right="-283"/>
        <w:jc w:val="both"/>
        <w:rPr>
          <w:rFonts w:cs="Arial"/>
          <w:bCs/>
        </w:rPr>
      </w:pPr>
      <w:r w:rsidRPr="00980EA1">
        <w:rPr>
          <w:rFonts w:cs="Arial"/>
          <w:bCs/>
        </w:rPr>
        <w:t>No obstante, a partir de</w:t>
      </w:r>
      <w:r>
        <w:rPr>
          <w:rFonts w:cs="Arial"/>
          <w:bCs/>
        </w:rPr>
        <w:t xml:space="preserve">l fortalecimiento </w:t>
      </w:r>
      <w:r w:rsidRPr="00980EA1">
        <w:rPr>
          <w:rFonts w:cs="Arial"/>
          <w:bCs/>
        </w:rPr>
        <w:t xml:space="preserve">del </w:t>
      </w:r>
      <w:r w:rsidRPr="0060006B">
        <w:rPr>
          <w:rFonts w:cs="Arial"/>
        </w:rPr>
        <w:t>Sistema Único de Gestión de Información de la Actividad Litigiosa del Estado</w:t>
      </w:r>
      <w:r w:rsidRPr="00980EA1">
        <w:rPr>
          <w:rFonts w:cs="Arial"/>
          <w:i/>
          <w:color w:val="000000"/>
          <w:shd w:val="clear" w:color="auto" w:fill="FFFFFF"/>
        </w:rPr>
        <w:t>,</w:t>
      </w:r>
      <w:r w:rsidRPr="00980EA1">
        <w:rPr>
          <w:rFonts w:cs="Arial"/>
          <w:bCs/>
        </w:rPr>
        <w:t xml:space="preserve"> la Agencia podrá consolidar y fortalecer el recaudo de la información pertinente para evaluar  la eficacia, la efectividad y el ahorro patrimonial de la conciliación, en los términos de la Directiva Presidencial 05 del 24 de mayo de 2009, en la que se imparten instrucciones para medir la eficacia y eficiencia de la conciliación extrajudicial.</w:t>
      </w:r>
    </w:p>
    <w:p w14:paraId="3DC090AE" w14:textId="77777777" w:rsidR="003B41C3" w:rsidRPr="00980EA1" w:rsidRDefault="003B41C3" w:rsidP="003B41C3">
      <w:pPr>
        <w:ind w:right="-283"/>
        <w:jc w:val="both"/>
        <w:rPr>
          <w:rFonts w:cs="Times New Roman"/>
        </w:rPr>
      </w:pPr>
      <w:r w:rsidRPr="00980EA1">
        <w:rPr>
          <w:rFonts w:cs="Arial"/>
          <w:bCs/>
        </w:rPr>
        <w:lastRenderedPageBreak/>
        <w:t xml:space="preserve">Con la implementación y puesta en marcha del nuevo sistema de información, se tendrán los elementos necesarios para la construcción de una base de datos que permita brindar información completa y oportuna sobre la conciliación extrajudicial en asuntos contencioso administrativos, presupuesto indispensable a efectos de determinar </w:t>
      </w:r>
      <w:r w:rsidRPr="00980EA1">
        <w:rPr>
          <w:rFonts w:cs="Arial"/>
        </w:rPr>
        <w:t>el impacto de la legislación en la materia.</w:t>
      </w:r>
      <w:r w:rsidRPr="00980EA1">
        <w:rPr>
          <w:rFonts w:cs="Times New Roman"/>
          <w:i/>
        </w:rPr>
        <w:t xml:space="preserve">  </w:t>
      </w:r>
    </w:p>
    <w:p w14:paraId="1F7B2D8B" w14:textId="77777777" w:rsidR="003B41C3" w:rsidRDefault="003B41C3" w:rsidP="003B41C3">
      <w:pPr>
        <w:ind w:right="-283"/>
        <w:rPr>
          <w:rFonts w:cs="Times New Roman"/>
        </w:rPr>
      </w:pPr>
    </w:p>
    <w:p w14:paraId="538EE82A" w14:textId="77777777" w:rsidR="003B41C3" w:rsidRDefault="003B41C3" w:rsidP="003B41C3">
      <w:pPr>
        <w:pStyle w:val="Prrafodelista"/>
        <w:numPr>
          <w:ilvl w:val="0"/>
          <w:numId w:val="66"/>
        </w:numPr>
        <w:ind w:left="567" w:right="-283" w:hanging="567"/>
        <w:jc w:val="both"/>
        <w:rPr>
          <w:rFonts w:cs="Arial"/>
          <w:b/>
        </w:rPr>
      </w:pPr>
      <w:r w:rsidRPr="000C7FB3">
        <w:rPr>
          <w:rFonts w:cs="Arial"/>
          <w:b/>
        </w:rPr>
        <w:t>ACCIONES ADOPTADAS POR LA AGENCIA</w:t>
      </w:r>
      <w:r>
        <w:rPr>
          <w:rFonts w:cs="Arial"/>
          <w:b/>
        </w:rPr>
        <w:t xml:space="preserve"> QUE CONTRIBUYEN A REDUCIR LAS DEMANDAS EN CONTRA DEL ESTADO Y EL IMPACTO FISCAL DE LAS CONDENAS.</w:t>
      </w:r>
    </w:p>
    <w:p w14:paraId="2C6D75B7" w14:textId="77777777" w:rsidR="003B41C3" w:rsidRDefault="003B41C3" w:rsidP="003B41C3">
      <w:pPr>
        <w:pStyle w:val="Prrafodelista"/>
        <w:ind w:left="567" w:right="-283" w:hanging="567"/>
        <w:jc w:val="both"/>
        <w:rPr>
          <w:rFonts w:cs="Arial"/>
          <w:b/>
        </w:rPr>
      </w:pPr>
    </w:p>
    <w:p w14:paraId="7E49BAE1" w14:textId="77777777" w:rsidR="003B41C3" w:rsidRPr="00A33517" w:rsidRDefault="003B41C3" w:rsidP="003B41C3">
      <w:pPr>
        <w:pStyle w:val="Prrafodelista"/>
        <w:numPr>
          <w:ilvl w:val="1"/>
          <w:numId w:val="67"/>
        </w:numPr>
        <w:ind w:right="-283"/>
        <w:jc w:val="both"/>
        <w:rPr>
          <w:rFonts w:cs="Arial"/>
          <w:b/>
        </w:rPr>
      </w:pPr>
      <w:r w:rsidRPr="00A33517">
        <w:rPr>
          <w:b/>
        </w:rPr>
        <w:t>Marco de instrumentos legales, operacionales y misionales para el actuar de la Agencia.</w:t>
      </w:r>
    </w:p>
    <w:p w14:paraId="6D933BED" w14:textId="77777777" w:rsidR="003B41C3" w:rsidRDefault="003B41C3" w:rsidP="003B41C3">
      <w:pPr>
        <w:ind w:right="-283"/>
        <w:jc w:val="both"/>
      </w:pPr>
      <w:r>
        <w:t xml:space="preserve">La gestión misional de la ANDJE está comprendida por las actividades desarrolladas por cada una de las direcciones misionales: Dirección de Defensa Jurídica, Dirección de Políticas y Estrategias de Defensa Jurídica, Subdirección de Acompañamiento a los Servicios Jurídicos y Dirección de Gestión de Información. </w:t>
      </w:r>
    </w:p>
    <w:p w14:paraId="446EEC68" w14:textId="77777777" w:rsidR="003B41C3" w:rsidRDefault="003B41C3" w:rsidP="003B41C3">
      <w:pPr>
        <w:ind w:right="-283"/>
        <w:jc w:val="both"/>
      </w:pPr>
      <w:r>
        <w:t>Estas direcciones misionales han venido desarrollado acciones y estrategias que contribuyen al logro del objetivo general de reducir las demandas contra el Estado, así como el impacto fiscal de las condenas.</w:t>
      </w:r>
    </w:p>
    <w:p w14:paraId="6E702E9D" w14:textId="77777777" w:rsidR="003B41C3" w:rsidRDefault="003B41C3" w:rsidP="003B41C3">
      <w:pPr>
        <w:ind w:right="-283"/>
        <w:jc w:val="both"/>
        <w:rPr>
          <w:bCs/>
        </w:rPr>
      </w:pPr>
      <w:r>
        <w:rPr>
          <w:bCs/>
        </w:rPr>
        <w:t>P</w:t>
      </w:r>
      <w:r w:rsidRPr="00F66CE3">
        <w:rPr>
          <w:bCs/>
        </w:rPr>
        <w:t xml:space="preserve">ara </w:t>
      </w:r>
      <w:r>
        <w:rPr>
          <w:bCs/>
        </w:rPr>
        <w:t xml:space="preserve">cumplir con su objeto, la </w:t>
      </w:r>
      <w:r w:rsidRPr="009F5430">
        <w:rPr>
          <w:bCs/>
        </w:rPr>
        <w:t xml:space="preserve">Agencia Nacional de Defensa Jurídica del Estado </w:t>
      </w:r>
      <w:r>
        <w:rPr>
          <w:bCs/>
        </w:rPr>
        <w:t xml:space="preserve">definió una </w:t>
      </w:r>
      <w:r w:rsidRPr="00F66CE3">
        <w:rPr>
          <w:bCs/>
        </w:rPr>
        <w:t>plataforma estratégica</w:t>
      </w:r>
      <w:r>
        <w:rPr>
          <w:bCs/>
        </w:rPr>
        <w:t xml:space="preserve"> </w:t>
      </w:r>
      <w:r w:rsidRPr="00F66CE3">
        <w:rPr>
          <w:bCs/>
        </w:rPr>
        <w:t>alineada con las metas y objetivos del Plan Nacional de Desarrollo 2010-2014 “Prosperidad para Todos”, el Plan Estratégico del Sector Justicia y del Derecho, el Sistema de Metas de Gobierno – SISMEG y la normatividad aplicable a las entidades públicas</w:t>
      </w:r>
      <w:r>
        <w:rPr>
          <w:bCs/>
        </w:rPr>
        <w:t>.</w:t>
      </w:r>
    </w:p>
    <w:p w14:paraId="60B93F42" w14:textId="77777777" w:rsidR="003B41C3" w:rsidRDefault="003B41C3" w:rsidP="003B41C3">
      <w:pPr>
        <w:ind w:right="-283"/>
        <w:jc w:val="both"/>
        <w:rPr>
          <w:bCs/>
        </w:rPr>
      </w:pPr>
      <w:r>
        <w:rPr>
          <w:bCs/>
        </w:rPr>
        <w:t>En ese contexto es importante recordar la misión de la Agencia</w:t>
      </w:r>
      <w:r w:rsidRPr="006300B8">
        <w:rPr>
          <w:bCs/>
        </w:rPr>
        <w:t xml:space="preserve"> Nacional de Defensa Jurídica del Estado, </w:t>
      </w:r>
      <w:r>
        <w:rPr>
          <w:bCs/>
        </w:rPr>
        <w:t xml:space="preserve">definida desde su </w:t>
      </w:r>
      <w:r w:rsidRPr="006300B8">
        <w:rPr>
          <w:bCs/>
        </w:rPr>
        <w:t>etapa de nacimiento y consolidación, con el fin de cumplir los objetivos para los que fue creada</w:t>
      </w:r>
      <w:r>
        <w:rPr>
          <w:bCs/>
        </w:rPr>
        <w:t xml:space="preserve">: </w:t>
      </w:r>
      <w:r w:rsidRPr="00407E9C">
        <w:rPr>
          <w:bCs/>
          <w:i/>
        </w:rPr>
        <w:t>“Liderar la defensa jurídica del Estado Colombiano articulando los actores del Ciclo de Defensa  a través de una gestión efectiva, integral y permanente, que respete derechos y principios constitucionales y que permita optimizar los recursos públicos e</w:t>
      </w:r>
      <w:r>
        <w:rPr>
          <w:bCs/>
          <w:i/>
        </w:rPr>
        <w:t>n beneficio de los colombianos”.</w:t>
      </w:r>
    </w:p>
    <w:p w14:paraId="3DBCBB7E" w14:textId="77777777" w:rsidR="003B41C3" w:rsidRDefault="003B41C3" w:rsidP="003B41C3">
      <w:pPr>
        <w:ind w:right="-283"/>
        <w:jc w:val="both"/>
        <w:rPr>
          <w:bCs/>
        </w:rPr>
      </w:pPr>
      <w:r w:rsidRPr="006300B8">
        <w:rPr>
          <w:bCs/>
        </w:rPr>
        <w:t xml:space="preserve">Así mismo </w:t>
      </w:r>
      <w:r>
        <w:rPr>
          <w:bCs/>
        </w:rPr>
        <w:t xml:space="preserve">se plasmó </w:t>
      </w:r>
      <w:r w:rsidRPr="006300B8">
        <w:rPr>
          <w:bCs/>
        </w:rPr>
        <w:t xml:space="preserve">un horizonte a largo plazo </w:t>
      </w:r>
      <w:r>
        <w:rPr>
          <w:bCs/>
        </w:rPr>
        <w:t>para mostrar resultados deseados,</w:t>
      </w:r>
      <w:r w:rsidRPr="006300B8">
        <w:rPr>
          <w:bCs/>
        </w:rPr>
        <w:t xml:space="preserve"> a través de su visión estrategia</w:t>
      </w:r>
      <w:r w:rsidRPr="00407E9C">
        <w:rPr>
          <w:bCs/>
          <w:i/>
        </w:rPr>
        <w:t>: “En el 2017,  la ANDJE habrá logrado un aumento significativo en la tasa de éxito procesal y cambios positivos en la cultura de litigiosidad como resultado de su efectiva gestión jurídica pública”.</w:t>
      </w:r>
    </w:p>
    <w:p w14:paraId="0C719590" w14:textId="77777777" w:rsidR="003B41C3" w:rsidRDefault="003B41C3" w:rsidP="003B41C3">
      <w:pPr>
        <w:ind w:right="-283"/>
        <w:jc w:val="both"/>
        <w:rPr>
          <w:bCs/>
        </w:rPr>
      </w:pPr>
      <w:r>
        <w:rPr>
          <w:bCs/>
        </w:rPr>
        <w:t xml:space="preserve">Así las cosas y teniendo presente la necesidad de </w:t>
      </w:r>
      <w:r w:rsidRPr="00FE4474">
        <w:rPr>
          <w:bCs/>
        </w:rPr>
        <w:t>mejorar la efectividad de la gestión de la defensa jurídica del Estado para disminuir los pagos por fallos desfavorables</w:t>
      </w:r>
      <w:r>
        <w:rPr>
          <w:bCs/>
        </w:rPr>
        <w:t xml:space="preserve">, </w:t>
      </w:r>
      <w:r w:rsidRPr="00FE4474">
        <w:rPr>
          <w:bCs/>
        </w:rPr>
        <w:t xml:space="preserve">se sometió </w:t>
      </w:r>
      <w:r w:rsidRPr="00FE4474">
        <w:rPr>
          <w:bCs/>
        </w:rPr>
        <w:lastRenderedPageBreak/>
        <w:t>a consideración del Consejo Nacional de Política Económica y Social -CONPES-, el concepto favorable a la Nación para contratar un empréstito con la Banca Multilateral hasta por la suma de US$10 millones</w:t>
      </w:r>
      <w:r>
        <w:rPr>
          <w:bCs/>
        </w:rPr>
        <w:t xml:space="preserve"> de dólares</w:t>
      </w:r>
      <w:r w:rsidRPr="00FE4474">
        <w:rPr>
          <w:bCs/>
        </w:rPr>
        <w:t xml:space="preserve"> o su equivalente en otras monedas, con el propósito de financiar el Programa de Fortalecimiento de la Defensa Jurídica del Estado</w:t>
      </w:r>
      <w:r>
        <w:rPr>
          <w:bCs/>
        </w:rPr>
        <w:t>, a través</w:t>
      </w:r>
      <w:r w:rsidRPr="009B5119">
        <w:rPr>
          <w:bCs/>
        </w:rPr>
        <w:t xml:space="preserve"> del Documento CONPES 3722</w:t>
      </w:r>
      <w:r>
        <w:rPr>
          <w:bCs/>
        </w:rPr>
        <w:t xml:space="preserve"> de 2012.</w:t>
      </w:r>
    </w:p>
    <w:p w14:paraId="7C835F0B" w14:textId="77777777" w:rsidR="003B41C3" w:rsidRDefault="003B41C3" w:rsidP="003B41C3">
      <w:pPr>
        <w:ind w:right="-283"/>
        <w:jc w:val="both"/>
        <w:rPr>
          <w:bCs/>
        </w:rPr>
      </w:pPr>
      <w:r>
        <w:rPr>
          <w:bCs/>
        </w:rPr>
        <w:t>Con ello se aprobó el crédito BID 2755/ OC-CO</w:t>
      </w:r>
      <w:r>
        <w:t xml:space="preserve"> con un p</w:t>
      </w:r>
      <w:r w:rsidRPr="000432A1">
        <w:rPr>
          <w:bCs/>
        </w:rPr>
        <w:t>lazo</w:t>
      </w:r>
      <w:r>
        <w:rPr>
          <w:bCs/>
        </w:rPr>
        <w:t xml:space="preserve"> de ejecución</w:t>
      </w:r>
      <w:r w:rsidRPr="000432A1">
        <w:rPr>
          <w:bCs/>
        </w:rPr>
        <w:t xml:space="preserve"> </w:t>
      </w:r>
      <w:r>
        <w:rPr>
          <w:bCs/>
        </w:rPr>
        <w:t xml:space="preserve">inicial de 4 años. Este crédito sería el motor de arranque de la Agencia para el desarrollo de sus funciones misionales. No obstante, por decisión del Ministerio de Justicia y del Derecho se aplazó el inicio de ejecución del crédito hasta </w:t>
      </w:r>
      <w:r w:rsidRPr="000432A1">
        <w:rPr>
          <w:bCs/>
        </w:rPr>
        <w:t xml:space="preserve">el </w:t>
      </w:r>
      <w:r>
        <w:rPr>
          <w:bCs/>
        </w:rPr>
        <w:t xml:space="preserve">1 de enero </w:t>
      </w:r>
      <w:r w:rsidRPr="000432A1">
        <w:rPr>
          <w:bCs/>
        </w:rPr>
        <w:t>201</w:t>
      </w:r>
      <w:r>
        <w:rPr>
          <w:bCs/>
        </w:rPr>
        <w:t xml:space="preserve">4, con lo cual se redujo el tiempo de ejecución a 3 años, </w:t>
      </w:r>
      <w:r w:rsidRPr="000432A1">
        <w:rPr>
          <w:bCs/>
        </w:rPr>
        <w:t>hasta 30 de Noviembre de 2016</w:t>
      </w:r>
      <w:r>
        <w:rPr>
          <w:bCs/>
        </w:rPr>
        <w:t xml:space="preserve">, y se determinó </w:t>
      </w:r>
      <w:r w:rsidRPr="000432A1">
        <w:rPr>
          <w:bCs/>
        </w:rPr>
        <w:t xml:space="preserve">que el Organismo Ejecutor del Crédito BID fuera </w:t>
      </w:r>
      <w:r>
        <w:rPr>
          <w:bCs/>
        </w:rPr>
        <w:t>directamente la Agencia Nacional de Defensa Jurídica del Estado</w:t>
      </w:r>
      <w:r w:rsidRPr="000432A1">
        <w:rPr>
          <w:bCs/>
        </w:rPr>
        <w:t>.</w:t>
      </w:r>
    </w:p>
    <w:p w14:paraId="56E22FDE" w14:textId="77777777" w:rsidR="003B41C3" w:rsidRDefault="003B41C3" w:rsidP="003B41C3">
      <w:pPr>
        <w:ind w:right="-283"/>
        <w:jc w:val="both"/>
        <w:rPr>
          <w:bCs/>
        </w:rPr>
      </w:pPr>
      <w:r>
        <w:rPr>
          <w:bCs/>
        </w:rPr>
        <w:t>El proyecto a ejecutarse con el crédito plasmado en el</w:t>
      </w:r>
      <w:r w:rsidRPr="00F05F49">
        <w:rPr>
          <w:bCs/>
        </w:rPr>
        <w:t xml:space="preserve"> CONPES 3722 </w:t>
      </w:r>
      <w:r>
        <w:rPr>
          <w:bCs/>
        </w:rPr>
        <w:t>está compuesto por</w:t>
      </w:r>
      <w:r w:rsidRPr="00F05F49">
        <w:rPr>
          <w:bCs/>
        </w:rPr>
        <w:t xml:space="preserve"> 3 componentes</w:t>
      </w:r>
      <w:r>
        <w:rPr>
          <w:bCs/>
        </w:rPr>
        <w:t xml:space="preserve"> que se plasman en los siguientes </w:t>
      </w:r>
      <w:r w:rsidRPr="00F05F49">
        <w:rPr>
          <w:bCs/>
        </w:rPr>
        <w:t>objetivos específicos de la operación</w:t>
      </w:r>
      <w:r>
        <w:rPr>
          <w:bCs/>
        </w:rPr>
        <w:t>:</w:t>
      </w:r>
    </w:p>
    <w:p w14:paraId="3E532FB1" w14:textId="77777777" w:rsidR="003B41C3" w:rsidRPr="000432A1" w:rsidRDefault="003B41C3" w:rsidP="003B41C3">
      <w:pPr>
        <w:pStyle w:val="Prrafodelista"/>
        <w:numPr>
          <w:ilvl w:val="0"/>
          <w:numId w:val="8"/>
        </w:numPr>
        <w:ind w:right="-283"/>
        <w:jc w:val="both"/>
        <w:rPr>
          <w:bCs/>
        </w:rPr>
      </w:pPr>
      <w:r w:rsidRPr="000432A1">
        <w:rPr>
          <w:bCs/>
        </w:rPr>
        <w:t>Dotar a la defensa jurídica del Estado de un marco ins</w:t>
      </w:r>
      <w:r>
        <w:rPr>
          <w:bCs/>
        </w:rPr>
        <w:t>titucional y ejecutivo adecuado.</w:t>
      </w:r>
      <w:r w:rsidRPr="000432A1">
        <w:rPr>
          <w:bCs/>
        </w:rPr>
        <w:t xml:space="preserve"> </w:t>
      </w:r>
    </w:p>
    <w:p w14:paraId="18595D30" w14:textId="77777777" w:rsidR="003B41C3" w:rsidRPr="000432A1" w:rsidRDefault="003B41C3" w:rsidP="003B41C3">
      <w:pPr>
        <w:pStyle w:val="Prrafodelista"/>
        <w:numPr>
          <w:ilvl w:val="0"/>
          <w:numId w:val="8"/>
        </w:numPr>
        <w:ind w:right="-283"/>
        <w:jc w:val="both"/>
        <w:rPr>
          <w:bCs/>
        </w:rPr>
      </w:pPr>
      <w:r w:rsidRPr="000432A1">
        <w:rPr>
          <w:bCs/>
        </w:rPr>
        <w:t xml:space="preserve">Mejorar la gestión del ciclo de defensa jurídica y </w:t>
      </w:r>
    </w:p>
    <w:p w14:paraId="3758C3A5" w14:textId="77777777" w:rsidR="003B41C3" w:rsidRPr="000432A1" w:rsidRDefault="003B41C3" w:rsidP="003B41C3">
      <w:pPr>
        <w:pStyle w:val="Prrafodelista"/>
        <w:numPr>
          <w:ilvl w:val="0"/>
          <w:numId w:val="8"/>
        </w:numPr>
        <w:ind w:right="-283"/>
        <w:jc w:val="both"/>
        <w:rPr>
          <w:bCs/>
        </w:rPr>
      </w:pPr>
      <w:r w:rsidRPr="000432A1">
        <w:rPr>
          <w:bCs/>
        </w:rPr>
        <w:t>Mejorar la gestión estratégica del sistema a través de un control y monitoreo de la actividad que realizan los operadores jurídicos de las entidades.</w:t>
      </w:r>
    </w:p>
    <w:p w14:paraId="6356562C" w14:textId="77777777" w:rsidR="003B41C3" w:rsidRDefault="003B41C3" w:rsidP="003B41C3">
      <w:pPr>
        <w:ind w:right="-283"/>
        <w:jc w:val="both"/>
        <w:rPr>
          <w:bCs/>
          <w:lang w:val="es-ES"/>
        </w:rPr>
      </w:pPr>
      <w:r w:rsidRPr="00F21B6A">
        <w:rPr>
          <w:bCs/>
          <w:lang w:val="es-ES"/>
        </w:rPr>
        <w:t>En este marco de instrumentos legales</w:t>
      </w:r>
      <w:r>
        <w:rPr>
          <w:bCs/>
          <w:lang w:val="es-ES"/>
        </w:rPr>
        <w:t xml:space="preserve">, operacionales y misionales, las diferentes Direcciones de la Agencia Nacional de Defensa Jurídica del Estado, han venido ejecutando con recursos del presupuesto nacional </w:t>
      </w:r>
      <w:r w:rsidRPr="00F21B6A">
        <w:rPr>
          <w:bCs/>
          <w:lang w:val="es-ES"/>
        </w:rPr>
        <w:t xml:space="preserve">actividades y </w:t>
      </w:r>
      <w:r>
        <w:rPr>
          <w:bCs/>
          <w:lang w:val="es-ES"/>
        </w:rPr>
        <w:t xml:space="preserve">estrategias que permitieran asumir </w:t>
      </w:r>
      <w:r w:rsidRPr="00F21B6A">
        <w:rPr>
          <w:bCs/>
          <w:lang w:val="es-ES"/>
        </w:rPr>
        <w:t>la responsabilidad de la gestión de la</w:t>
      </w:r>
      <w:r>
        <w:rPr>
          <w:bCs/>
          <w:lang w:val="es-ES"/>
        </w:rPr>
        <w:t xml:space="preserve"> defensa jurídica del Estado y contar con los insumos necesarios para iniciar la ejecución del crédito el 1 de enero del año 2014.  </w:t>
      </w:r>
    </w:p>
    <w:p w14:paraId="0234CFE6" w14:textId="77777777" w:rsidR="003B41C3" w:rsidRDefault="003B41C3" w:rsidP="003B41C3">
      <w:pPr>
        <w:ind w:right="-283"/>
        <w:jc w:val="both"/>
        <w:rPr>
          <w:bCs/>
          <w:lang w:val="es-ES"/>
        </w:rPr>
      </w:pPr>
      <w:r>
        <w:rPr>
          <w:bCs/>
          <w:lang w:val="es-ES"/>
        </w:rPr>
        <w:t>A continuación se enuncian las principales actividades que destacan los logros y avances más importantes por parte de cada una de la Direcciones de la Agencia.</w:t>
      </w:r>
    </w:p>
    <w:p w14:paraId="3F184BF9" w14:textId="77777777" w:rsidR="003B41C3" w:rsidRDefault="003B41C3" w:rsidP="003B41C3">
      <w:pPr>
        <w:ind w:right="-283"/>
        <w:jc w:val="both"/>
        <w:rPr>
          <w:bCs/>
          <w:lang w:val="es-ES"/>
        </w:rPr>
      </w:pPr>
    </w:p>
    <w:p w14:paraId="222769C0" w14:textId="77777777" w:rsidR="003B41C3" w:rsidRDefault="003B41C3" w:rsidP="003B41C3">
      <w:pPr>
        <w:ind w:right="-283"/>
        <w:jc w:val="both"/>
        <w:rPr>
          <w:b/>
          <w:bCs/>
          <w:lang w:val="es-ES"/>
        </w:rPr>
      </w:pPr>
      <w:r w:rsidRPr="00B44490">
        <w:rPr>
          <w:b/>
          <w:bCs/>
          <w:lang w:val="es-ES"/>
        </w:rPr>
        <w:t>7.2.</w:t>
      </w:r>
      <w:r>
        <w:rPr>
          <w:b/>
          <w:bCs/>
          <w:lang w:val="es-ES"/>
        </w:rPr>
        <w:t xml:space="preserve"> </w:t>
      </w:r>
      <w:r w:rsidRPr="005F7483">
        <w:rPr>
          <w:b/>
          <w:bCs/>
          <w:lang w:val="es-ES"/>
        </w:rPr>
        <w:t xml:space="preserve"> Logros y avances para la gestión de la defensa jurídica del Estado</w:t>
      </w:r>
    </w:p>
    <w:p w14:paraId="5D10B082" w14:textId="77777777" w:rsidR="003B41C3" w:rsidRDefault="003B41C3" w:rsidP="003B41C3">
      <w:pPr>
        <w:ind w:right="-283"/>
        <w:jc w:val="both"/>
        <w:rPr>
          <w:bCs/>
          <w:lang w:val="es-ES"/>
        </w:rPr>
      </w:pPr>
      <w:r w:rsidRPr="00B44490">
        <w:rPr>
          <w:bCs/>
          <w:lang w:val="es-ES"/>
        </w:rPr>
        <w:t>La Dirección de Defensa Jurídica, Dirección de Políticas y Estrategias y la Dirección de Gestión de información destacan sus logros y avances con miras a efectuar una efectiva y eficiente gestión de defensa jurídica del Estado.</w:t>
      </w:r>
    </w:p>
    <w:p w14:paraId="2CBF1089" w14:textId="77777777" w:rsidR="00187D28" w:rsidRDefault="00187D28" w:rsidP="003B41C3">
      <w:pPr>
        <w:ind w:right="-283"/>
        <w:jc w:val="both"/>
        <w:rPr>
          <w:bCs/>
          <w:lang w:val="es-ES"/>
        </w:rPr>
      </w:pPr>
    </w:p>
    <w:p w14:paraId="38EA1B5B" w14:textId="77777777" w:rsidR="00187D28" w:rsidRDefault="00187D28" w:rsidP="003B41C3">
      <w:pPr>
        <w:ind w:right="-283"/>
        <w:jc w:val="both"/>
        <w:rPr>
          <w:bCs/>
          <w:lang w:val="es-ES"/>
        </w:rPr>
      </w:pPr>
    </w:p>
    <w:p w14:paraId="6450492F" w14:textId="77777777" w:rsidR="008C788A" w:rsidRPr="00F25B38" w:rsidRDefault="00935BFA" w:rsidP="007871B5">
      <w:pPr>
        <w:ind w:right="-283"/>
        <w:jc w:val="center"/>
        <w:rPr>
          <w:bCs/>
          <w:sz w:val="20"/>
          <w:szCs w:val="20"/>
          <w:lang w:val="es-ES"/>
        </w:rPr>
      </w:pPr>
      <w:r w:rsidRPr="00F25B38">
        <w:rPr>
          <w:b/>
          <w:bCs/>
          <w:sz w:val="20"/>
          <w:szCs w:val="20"/>
          <w:lang w:val="es-ES"/>
        </w:rPr>
        <w:lastRenderedPageBreak/>
        <w:t>Tabla</w:t>
      </w:r>
      <w:r w:rsidR="00A109BA" w:rsidRPr="00F25B38">
        <w:rPr>
          <w:b/>
          <w:bCs/>
          <w:sz w:val="20"/>
          <w:szCs w:val="20"/>
          <w:lang w:val="es-ES"/>
        </w:rPr>
        <w:t xml:space="preserve"> </w:t>
      </w:r>
      <w:r w:rsidR="007E129E" w:rsidRPr="00F25B38">
        <w:rPr>
          <w:b/>
          <w:bCs/>
          <w:sz w:val="20"/>
          <w:szCs w:val="20"/>
          <w:lang w:val="es-ES"/>
        </w:rPr>
        <w:t>1</w:t>
      </w:r>
      <w:r w:rsidR="00A33517" w:rsidRPr="00F25B38">
        <w:rPr>
          <w:b/>
          <w:bCs/>
          <w:sz w:val="20"/>
          <w:szCs w:val="20"/>
          <w:lang w:val="es-ES"/>
        </w:rPr>
        <w:t>2</w:t>
      </w:r>
      <w:r w:rsidRPr="00F25B38">
        <w:rPr>
          <w:b/>
          <w:bCs/>
          <w:sz w:val="20"/>
          <w:szCs w:val="20"/>
          <w:lang w:val="es-ES"/>
        </w:rPr>
        <w:t xml:space="preserve">: </w:t>
      </w:r>
      <w:r w:rsidR="00A109BA" w:rsidRPr="00F25B38">
        <w:rPr>
          <w:b/>
          <w:bCs/>
          <w:sz w:val="20"/>
          <w:szCs w:val="20"/>
          <w:lang w:val="es-ES"/>
        </w:rPr>
        <w:t>Logros y avances de la Dirección de Defensa Jurídica</w:t>
      </w:r>
      <w:r w:rsidR="00CF1D02" w:rsidRPr="00F25B38">
        <w:rPr>
          <w:bCs/>
          <w:sz w:val="20"/>
          <w:szCs w:val="20"/>
          <w:lang w:val="es-ES"/>
        </w:rPr>
        <w:t xml:space="preserve"> </w:t>
      </w:r>
      <w:r w:rsidR="00F25B38" w:rsidRPr="00F25B38">
        <w:rPr>
          <w:bCs/>
          <w:sz w:val="20"/>
          <w:szCs w:val="20"/>
          <w:lang w:val="es-ES"/>
        </w:rPr>
        <w:t xml:space="preserve"> </w:t>
      </w:r>
    </w:p>
    <w:tbl>
      <w:tblPr>
        <w:tblStyle w:val="Tablaconcuadrcula"/>
        <w:tblW w:w="9067" w:type="dxa"/>
        <w:tblLook w:val="04A0" w:firstRow="1" w:lastRow="0" w:firstColumn="1" w:lastColumn="0" w:noHBand="0" w:noVBand="1"/>
      </w:tblPr>
      <w:tblGrid>
        <w:gridCol w:w="2004"/>
        <w:gridCol w:w="7063"/>
      </w:tblGrid>
      <w:tr w:rsidR="008C788A" w:rsidRPr="007871B5" w14:paraId="00D4CDE0" w14:textId="77777777" w:rsidTr="008D0522">
        <w:trPr>
          <w:trHeight w:val="198"/>
        </w:trPr>
        <w:tc>
          <w:tcPr>
            <w:tcW w:w="9067" w:type="dxa"/>
            <w:gridSpan w:val="2"/>
            <w:shd w:val="clear" w:color="auto" w:fill="17365D" w:themeFill="text2" w:themeFillShade="BF"/>
          </w:tcPr>
          <w:p w14:paraId="771487BB" w14:textId="77777777" w:rsidR="008D0522" w:rsidRDefault="008D0522" w:rsidP="007871B5">
            <w:pPr>
              <w:jc w:val="center"/>
              <w:rPr>
                <w:b/>
                <w:bCs/>
                <w:sz w:val="20"/>
                <w:szCs w:val="20"/>
                <w:lang w:val="es-ES"/>
              </w:rPr>
            </w:pPr>
          </w:p>
          <w:p w14:paraId="69A81435" w14:textId="77777777" w:rsidR="008C788A" w:rsidRPr="007871B5" w:rsidRDefault="008C788A" w:rsidP="007871B5">
            <w:pPr>
              <w:jc w:val="center"/>
              <w:rPr>
                <w:b/>
                <w:bCs/>
                <w:sz w:val="20"/>
                <w:szCs w:val="20"/>
                <w:lang w:val="es-ES"/>
              </w:rPr>
            </w:pPr>
            <w:r w:rsidRPr="007871B5">
              <w:rPr>
                <w:b/>
                <w:bCs/>
                <w:sz w:val="20"/>
                <w:szCs w:val="20"/>
                <w:lang w:val="es-ES"/>
              </w:rPr>
              <w:t>DIRECCION DE DEFENSA JURIDICA</w:t>
            </w:r>
          </w:p>
          <w:p w14:paraId="701C1815" w14:textId="77777777" w:rsidR="0078479E" w:rsidRPr="007871B5" w:rsidRDefault="0078479E" w:rsidP="007871B5">
            <w:pPr>
              <w:jc w:val="center"/>
              <w:rPr>
                <w:b/>
                <w:bCs/>
                <w:sz w:val="20"/>
                <w:szCs w:val="20"/>
                <w:lang w:val="es-ES"/>
              </w:rPr>
            </w:pPr>
          </w:p>
        </w:tc>
      </w:tr>
      <w:tr w:rsidR="008C788A" w:rsidRPr="007871B5" w14:paraId="18411CE5" w14:textId="77777777" w:rsidTr="007871B5">
        <w:tc>
          <w:tcPr>
            <w:tcW w:w="2004" w:type="dxa"/>
            <w:shd w:val="clear" w:color="auto" w:fill="C6D9F1" w:themeFill="text2" w:themeFillTint="33"/>
          </w:tcPr>
          <w:p w14:paraId="7EEAC1BE" w14:textId="77777777" w:rsidR="008C788A" w:rsidRPr="007871B5" w:rsidRDefault="001711F5" w:rsidP="007871B5">
            <w:pPr>
              <w:jc w:val="center"/>
              <w:rPr>
                <w:b/>
                <w:bCs/>
                <w:sz w:val="20"/>
                <w:szCs w:val="20"/>
                <w:lang w:val="es-ES"/>
              </w:rPr>
            </w:pPr>
            <w:r w:rsidRPr="007871B5">
              <w:rPr>
                <w:b/>
                <w:bCs/>
                <w:sz w:val="20"/>
                <w:szCs w:val="20"/>
                <w:lang w:val="es-ES"/>
              </w:rPr>
              <w:t>ACTIVIDAD Y ESTRATEGIA</w:t>
            </w:r>
          </w:p>
        </w:tc>
        <w:tc>
          <w:tcPr>
            <w:tcW w:w="7063" w:type="dxa"/>
            <w:shd w:val="clear" w:color="auto" w:fill="C6D9F1" w:themeFill="text2" w:themeFillTint="33"/>
          </w:tcPr>
          <w:p w14:paraId="0F179F26" w14:textId="77777777" w:rsidR="008C788A" w:rsidRPr="007871B5" w:rsidRDefault="008C788A" w:rsidP="007871B5">
            <w:pPr>
              <w:jc w:val="center"/>
              <w:rPr>
                <w:b/>
                <w:bCs/>
                <w:sz w:val="20"/>
                <w:szCs w:val="20"/>
                <w:lang w:val="es-ES"/>
              </w:rPr>
            </w:pPr>
            <w:r w:rsidRPr="007871B5">
              <w:rPr>
                <w:b/>
                <w:bCs/>
                <w:sz w:val="20"/>
                <w:szCs w:val="20"/>
                <w:lang w:val="es-ES"/>
              </w:rPr>
              <w:t>LOGROS Y AVANCES</w:t>
            </w:r>
          </w:p>
        </w:tc>
      </w:tr>
      <w:tr w:rsidR="008C788A" w:rsidRPr="007871B5" w14:paraId="64705791" w14:textId="77777777" w:rsidTr="007871B5">
        <w:tc>
          <w:tcPr>
            <w:tcW w:w="2004" w:type="dxa"/>
          </w:tcPr>
          <w:p w14:paraId="14FE377D" w14:textId="77777777" w:rsidR="008C788A" w:rsidRPr="007871B5" w:rsidRDefault="001711F5" w:rsidP="007871B5">
            <w:pPr>
              <w:jc w:val="both"/>
              <w:rPr>
                <w:b/>
                <w:bCs/>
                <w:sz w:val="20"/>
                <w:szCs w:val="20"/>
                <w:lang w:val="es-ES"/>
              </w:rPr>
            </w:pPr>
            <w:r w:rsidRPr="007871B5">
              <w:rPr>
                <w:b/>
                <w:bCs/>
                <w:sz w:val="20"/>
                <w:szCs w:val="20"/>
                <w:lang w:val="es-ES"/>
              </w:rPr>
              <w:t>Definición de Competencias</w:t>
            </w:r>
          </w:p>
        </w:tc>
        <w:tc>
          <w:tcPr>
            <w:tcW w:w="7063" w:type="dxa"/>
          </w:tcPr>
          <w:p w14:paraId="77A37605" w14:textId="77777777" w:rsidR="001711F5" w:rsidRPr="007871B5" w:rsidRDefault="001711F5" w:rsidP="003445A7">
            <w:pPr>
              <w:pStyle w:val="Prrafodelista"/>
              <w:numPr>
                <w:ilvl w:val="0"/>
                <w:numId w:val="48"/>
              </w:numPr>
              <w:jc w:val="both"/>
              <w:rPr>
                <w:bCs/>
                <w:sz w:val="20"/>
                <w:szCs w:val="20"/>
                <w:lang w:val="es-ES"/>
              </w:rPr>
            </w:pPr>
            <w:r w:rsidRPr="007871B5">
              <w:rPr>
                <w:b/>
                <w:bCs/>
                <w:sz w:val="20"/>
                <w:szCs w:val="20"/>
                <w:lang w:val="es-ES"/>
              </w:rPr>
              <w:t>Revisión del marco jurídico que determina los criterios de intervención de la Agencia</w:t>
            </w:r>
          </w:p>
          <w:p w14:paraId="54F3A62F" w14:textId="77777777" w:rsidR="001711F5" w:rsidRPr="007871B5" w:rsidRDefault="001711F5" w:rsidP="003445A7">
            <w:pPr>
              <w:pStyle w:val="Prrafodelista"/>
              <w:numPr>
                <w:ilvl w:val="0"/>
                <w:numId w:val="32"/>
              </w:numPr>
              <w:jc w:val="both"/>
              <w:rPr>
                <w:bCs/>
                <w:sz w:val="20"/>
                <w:szCs w:val="20"/>
                <w:lang w:val="es-ES"/>
              </w:rPr>
            </w:pPr>
            <w:r w:rsidRPr="007871B5">
              <w:rPr>
                <w:bCs/>
                <w:sz w:val="20"/>
                <w:szCs w:val="20"/>
                <w:lang w:val="es-ES"/>
              </w:rPr>
              <w:t>Propuesta de Acuerdo que fija criterios de intervención de la Agencia en materia de procesos judiciales y tribunales de arbitramento</w:t>
            </w:r>
          </w:p>
          <w:p w14:paraId="223B4965" w14:textId="77777777" w:rsidR="001711F5" w:rsidRPr="00E46994" w:rsidRDefault="008C4185" w:rsidP="003445A7">
            <w:pPr>
              <w:pStyle w:val="Prrafodelista"/>
              <w:numPr>
                <w:ilvl w:val="0"/>
                <w:numId w:val="32"/>
              </w:numPr>
              <w:jc w:val="both"/>
              <w:rPr>
                <w:bCs/>
                <w:sz w:val="20"/>
                <w:szCs w:val="20"/>
                <w:lang w:val="es-ES"/>
              </w:rPr>
            </w:pPr>
            <w:r w:rsidRPr="00E46994">
              <w:rPr>
                <w:bCs/>
                <w:sz w:val="20"/>
                <w:szCs w:val="20"/>
                <w:lang w:val="es-ES"/>
              </w:rPr>
              <w:t>Se p</w:t>
            </w:r>
            <w:r w:rsidR="001711F5" w:rsidRPr="00E46994">
              <w:rPr>
                <w:bCs/>
                <w:sz w:val="20"/>
                <w:szCs w:val="20"/>
                <w:lang w:val="es-ES"/>
              </w:rPr>
              <w:t>royectó la Circular Externa No. 8</w:t>
            </w:r>
            <w:r w:rsidR="004E7C1E" w:rsidRPr="00E46994">
              <w:rPr>
                <w:bCs/>
                <w:sz w:val="20"/>
                <w:szCs w:val="20"/>
                <w:lang w:val="es-ES"/>
              </w:rPr>
              <w:t xml:space="preserve"> por la cual se fijan los lineamientos y parámetros para promover acciones repetición y se solicitó a las 14 entidades  con pagos de más de 10,000 millones invitar a la Agencia a sus Comités de Conciliación para efectos de promover la acción de repetición.</w:t>
            </w:r>
          </w:p>
          <w:p w14:paraId="577B65E1" w14:textId="77777777" w:rsidR="001711F5" w:rsidRPr="007871B5" w:rsidRDefault="008C4185" w:rsidP="003445A7">
            <w:pPr>
              <w:pStyle w:val="Prrafodelista"/>
              <w:numPr>
                <w:ilvl w:val="0"/>
                <w:numId w:val="32"/>
              </w:numPr>
              <w:jc w:val="both"/>
              <w:rPr>
                <w:bCs/>
                <w:sz w:val="20"/>
                <w:szCs w:val="20"/>
                <w:lang w:val="es-ES"/>
              </w:rPr>
            </w:pPr>
            <w:r w:rsidRPr="007871B5">
              <w:rPr>
                <w:bCs/>
                <w:sz w:val="20"/>
                <w:szCs w:val="20"/>
                <w:lang w:val="es-ES"/>
              </w:rPr>
              <w:t>Se p</w:t>
            </w:r>
            <w:r w:rsidR="001711F5" w:rsidRPr="007871B5">
              <w:rPr>
                <w:bCs/>
                <w:sz w:val="20"/>
                <w:szCs w:val="20"/>
                <w:lang w:val="es-ES"/>
              </w:rPr>
              <w:t>reparó</w:t>
            </w:r>
            <w:r w:rsidR="004E7C1E">
              <w:rPr>
                <w:bCs/>
                <w:sz w:val="20"/>
                <w:szCs w:val="20"/>
                <w:lang w:val="es-ES"/>
              </w:rPr>
              <w:t xml:space="preserve"> el</w:t>
            </w:r>
            <w:r w:rsidR="001711F5" w:rsidRPr="007871B5">
              <w:rPr>
                <w:bCs/>
                <w:sz w:val="20"/>
                <w:szCs w:val="20"/>
                <w:lang w:val="es-ES"/>
              </w:rPr>
              <w:t xml:space="preserve"> Decreto 1365 del 27 de Junio de 2013 </w:t>
            </w:r>
            <w:r w:rsidR="004E7C1E">
              <w:rPr>
                <w:bCs/>
                <w:sz w:val="20"/>
                <w:szCs w:val="20"/>
                <w:lang w:val="es-ES"/>
              </w:rPr>
              <w:t xml:space="preserve">por el cual se restringió la notificación de procesos a entidades del nivel nacional y se estableció </w:t>
            </w:r>
            <w:proofErr w:type="spellStart"/>
            <w:r w:rsidR="004E7C1E">
              <w:rPr>
                <w:bCs/>
                <w:sz w:val="20"/>
                <w:szCs w:val="20"/>
                <w:lang w:val="es-ES"/>
              </w:rPr>
              <w:t>el</w:t>
            </w:r>
            <w:proofErr w:type="spellEnd"/>
            <w:r w:rsidR="004E7C1E">
              <w:rPr>
                <w:bCs/>
                <w:sz w:val="20"/>
                <w:szCs w:val="20"/>
                <w:lang w:val="es-ES"/>
              </w:rPr>
              <w:t xml:space="preserve"> envió magnético de la demanda y sus anexos.</w:t>
            </w:r>
            <w:r w:rsidR="001711F5" w:rsidRPr="007871B5">
              <w:rPr>
                <w:bCs/>
                <w:sz w:val="20"/>
                <w:szCs w:val="20"/>
                <w:lang w:val="es-ES"/>
              </w:rPr>
              <w:t xml:space="preserve"> </w:t>
            </w:r>
          </w:p>
          <w:p w14:paraId="34005FCD" w14:textId="77777777" w:rsidR="001711F5" w:rsidRPr="007871B5" w:rsidRDefault="001711F5" w:rsidP="003445A7">
            <w:pPr>
              <w:pStyle w:val="Prrafodelista"/>
              <w:numPr>
                <w:ilvl w:val="0"/>
                <w:numId w:val="32"/>
              </w:numPr>
              <w:jc w:val="both"/>
              <w:rPr>
                <w:bCs/>
                <w:sz w:val="20"/>
                <w:szCs w:val="20"/>
                <w:lang w:val="es-ES"/>
              </w:rPr>
            </w:pPr>
            <w:r w:rsidRPr="007871B5">
              <w:rPr>
                <w:bCs/>
                <w:sz w:val="20"/>
                <w:szCs w:val="20"/>
                <w:lang w:val="es-ES"/>
              </w:rPr>
              <w:t>Proyecto conjunto con la Dirección de Políticas y Estrategias para reglamentar el artículo 46 de la Ley 1551 de 2012</w:t>
            </w:r>
            <w:r w:rsidR="004E7C1E">
              <w:rPr>
                <w:bCs/>
                <w:sz w:val="20"/>
                <w:szCs w:val="20"/>
                <w:lang w:val="es-ES"/>
              </w:rPr>
              <w:t xml:space="preserve"> que señala la asesoría a municipios de categorías 2, 3, y 4.</w:t>
            </w:r>
          </w:p>
          <w:p w14:paraId="0D680701" w14:textId="77777777" w:rsidR="001711F5" w:rsidRPr="007871B5" w:rsidRDefault="001711F5" w:rsidP="003445A7">
            <w:pPr>
              <w:pStyle w:val="Prrafodelista"/>
              <w:numPr>
                <w:ilvl w:val="0"/>
                <w:numId w:val="48"/>
              </w:numPr>
              <w:jc w:val="both"/>
              <w:rPr>
                <w:b/>
                <w:bCs/>
                <w:sz w:val="20"/>
                <w:szCs w:val="20"/>
                <w:lang w:val="es-ES"/>
              </w:rPr>
            </w:pPr>
            <w:r w:rsidRPr="007871B5">
              <w:rPr>
                <w:b/>
                <w:bCs/>
                <w:sz w:val="20"/>
                <w:szCs w:val="20"/>
                <w:lang w:val="es-ES"/>
              </w:rPr>
              <w:t>Diseño e implementación de la instancia de selección.</w:t>
            </w:r>
          </w:p>
          <w:p w14:paraId="6AE1686F" w14:textId="77777777" w:rsidR="008C788A" w:rsidRPr="007871B5" w:rsidRDefault="001711F5" w:rsidP="00E46994">
            <w:pPr>
              <w:ind w:left="718" w:hanging="358"/>
              <w:jc w:val="both"/>
              <w:rPr>
                <w:bCs/>
                <w:sz w:val="20"/>
                <w:szCs w:val="20"/>
                <w:lang w:val="es-ES"/>
              </w:rPr>
            </w:pPr>
            <w:r w:rsidRPr="007871B5">
              <w:rPr>
                <w:bCs/>
                <w:sz w:val="20"/>
                <w:szCs w:val="20"/>
                <w:lang w:val="es-ES"/>
              </w:rPr>
              <w:t>•</w:t>
            </w:r>
            <w:r w:rsidRPr="007871B5">
              <w:rPr>
                <w:bCs/>
                <w:sz w:val="20"/>
                <w:szCs w:val="20"/>
                <w:lang w:val="es-ES"/>
              </w:rPr>
              <w:tab/>
              <w:t xml:space="preserve">Propuesta de reglamentación del </w:t>
            </w:r>
            <w:r w:rsidR="004E7C1E">
              <w:rPr>
                <w:bCs/>
                <w:sz w:val="20"/>
                <w:szCs w:val="20"/>
                <w:lang w:val="es-ES"/>
              </w:rPr>
              <w:t>C</w:t>
            </w:r>
            <w:r w:rsidRPr="007871B5">
              <w:rPr>
                <w:bCs/>
                <w:sz w:val="20"/>
                <w:szCs w:val="20"/>
                <w:lang w:val="es-ES"/>
              </w:rPr>
              <w:t xml:space="preserve">omité de </w:t>
            </w:r>
            <w:r w:rsidR="004E7C1E">
              <w:rPr>
                <w:bCs/>
                <w:sz w:val="20"/>
                <w:szCs w:val="20"/>
                <w:lang w:val="es-ES"/>
              </w:rPr>
              <w:t>S</w:t>
            </w:r>
            <w:r w:rsidRPr="007871B5">
              <w:rPr>
                <w:bCs/>
                <w:sz w:val="20"/>
                <w:szCs w:val="20"/>
                <w:lang w:val="es-ES"/>
              </w:rPr>
              <w:t>elección</w:t>
            </w:r>
            <w:r w:rsidR="004E7C1E">
              <w:rPr>
                <w:bCs/>
                <w:sz w:val="20"/>
                <w:szCs w:val="20"/>
                <w:lang w:val="es-ES"/>
              </w:rPr>
              <w:t xml:space="preserve"> con el fin de    establecer en qué procesos de los notificados debe intervenir la Agencia de Defensa.</w:t>
            </w:r>
          </w:p>
        </w:tc>
      </w:tr>
      <w:tr w:rsidR="008C788A" w:rsidRPr="007871B5" w14:paraId="6C133138" w14:textId="77777777" w:rsidTr="007871B5">
        <w:tc>
          <w:tcPr>
            <w:tcW w:w="2004" w:type="dxa"/>
          </w:tcPr>
          <w:p w14:paraId="44DC4F96" w14:textId="77777777" w:rsidR="001711F5" w:rsidRPr="007871B5" w:rsidRDefault="001711F5" w:rsidP="007871B5">
            <w:pPr>
              <w:jc w:val="both"/>
              <w:rPr>
                <w:b/>
                <w:bCs/>
                <w:sz w:val="20"/>
                <w:szCs w:val="20"/>
                <w:lang w:val="es-CO"/>
              </w:rPr>
            </w:pPr>
            <w:r w:rsidRPr="007871B5">
              <w:rPr>
                <w:b/>
                <w:bCs/>
                <w:sz w:val="20"/>
                <w:szCs w:val="20"/>
                <w:lang w:val="es-CO"/>
              </w:rPr>
              <w:t>Acompañamiento Inteligente</w:t>
            </w:r>
          </w:p>
          <w:p w14:paraId="52E5F546" w14:textId="77777777" w:rsidR="008C788A" w:rsidRPr="007871B5" w:rsidRDefault="008C788A" w:rsidP="007871B5">
            <w:pPr>
              <w:jc w:val="both"/>
              <w:rPr>
                <w:bCs/>
                <w:sz w:val="20"/>
                <w:szCs w:val="20"/>
                <w:lang w:val="es-ES"/>
              </w:rPr>
            </w:pPr>
          </w:p>
        </w:tc>
        <w:tc>
          <w:tcPr>
            <w:tcW w:w="7063" w:type="dxa"/>
          </w:tcPr>
          <w:p w14:paraId="5AFF58B8" w14:textId="77777777" w:rsidR="001711F5" w:rsidRPr="007871B5" w:rsidRDefault="001711F5" w:rsidP="003445A7">
            <w:pPr>
              <w:pStyle w:val="Prrafodelista"/>
              <w:numPr>
                <w:ilvl w:val="0"/>
                <w:numId w:val="49"/>
              </w:numPr>
              <w:jc w:val="both"/>
              <w:rPr>
                <w:b/>
                <w:bCs/>
                <w:sz w:val="20"/>
                <w:szCs w:val="20"/>
                <w:lang w:val="es-ES"/>
              </w:rPr>
            </w:pPr>
            <w:r w:rsidRPr="007871B5">
              <w:rPr>
                <w:b/>
                <w:bCs/>
                <w:sz w:val="20"/>
                <w:szCs w:val="20"/>
                <w:lang w:val="es-ES"/>
              </w:rPr>
              <w:t>Identificación y diagnóstico de la estrategia de defensa en los 25 pleitos más importantes para el Estado. Acuerdo 6</w:t>
            </w:r>
          </w:p>
          <w:p w14:paraId="10FB5FF7" w14:textId="77777777" w:rsidR="001711F5" w:rsidRPr="007871B5" w:rsidRDefault="001711F5" w:rsidP="003445A7">
            <w:pPr>
              <w:pStyle w:val="Prrafodelista"/>
              <w:numPr>
                <w:ilvl w:val="0"/>
                <w:numId w:val="50"/>
              </w:numPr>
              <w:jc w:val="both"/>
              <w:rPr>
                <w:bCs/>
                <w:sz w:val="20"/>
                <w:szCs w:val="20"/>
                <w:lang w:val="es-ES"/>
              </w:rPr>
            </w:pPr>
            <w:r w:rsidRPr="007871B5">
              <w:rPr>
                <w:bCs/>
                <w:sz w:val="20"/>
                <w:szCs w:val="20"/>
                <w:lang w:val="es-ES"/>
              </w:rPr>
              <w:t xml:space="preserve">Informe diagnóstico con Línea de Acción de los 25 pleitos más importantes para el Estado.  </w:t>
            </w:r>
          </w:p>
          <w:p w14:paraId="169D4765" w14:textId="77777777" w:rsidR="001711F5" w:rsidRPr="007871B5" w:rsidRDefault="001711F5" w:rsidP="003445A7">
            <w:pPr>
              <w:pStyle w:val="Prrafodelista"/>
              <w:numPr>
                <w:ilvl w:val="0"/>
                <w:numId w:val="50"/>
              </w:numPr>
              <w:jc w:val="both"/>
              <w:rPr>
                <w:bCs/>
                <w:sz w:val="20"/>
                <w:szCs w:val="20"/>
                <w:lang w:val="es-ES"/>
              </w:rPr>
            </w:pPr>
            <w:r w:rsidRPr="007871B5">
              <w:rPr>
                <w:bCs/>
                <w:sz w:val="20"/>
                <w:szCs w:val="20"/>
                <w:lang w:val="es-ES"/>
              </w:rPr>
              <w:t>Coordinación a través de mesa de trabajo en procesos que hacen parte de los 25</w:t>
            </w:r>
            <w:r w:rsidR="004E7C1E">
              <w:rPr>
                <w:bCs/>
                <w:sz w:val="20"/>
                <w:szCs w:val="20"/>
                <w:lang w:val="es-ES"/>
              </w:rPr>
              <w:t xml:space="preserve"> procesos que superan un billón de pesos</w:t>
            </w:r>
            <w:r w:rsidRPr="007871B5">
              <w:rPr>
                <w:bCs/>
                <w:sz w:val="20"/>
                <w:szCs w:val="20"/>
                <w:lang w:val="es-ES"/>
              </w:rPr>
              <w:t>.</w:t>
            </w:r>
          </w:p>
          <w:p w14:paraId="2AC8BE2A" w14:textId="77777777" w:rsidR="0078479E" w:rsidRPr="007871B5" w:rsidRDefault="001711F5" w:rsidP="003445A7">
            <w:pPr>
              <w:pStyle w:val="Prrafodelista"/>
              <w:numPr>
                <w:ilvl w:val="0"/>
                <w:numId w:val="49"/>
              </w:numPr>
              <w:jc w:val="both"/>
              <w:rPr>
                <w:b/>
                <w:bCs/>
                <w:sz w:val="20"/>
                <w:szCs w:val="20"/>
                <w:lang w:val="es-ES"/>
              </w:rPr>
            </w:pPr>
            <w:r w:rsidRPr="007871B5">
              <w:rPr>
                <w:b/>
                <w:bCs/>
                <w:sz w:val="20"/>
                <w:szCs w:val="20"/>
                <w:lang w:val="es-ES"/>
              </w:rPr>
              <w:t>Promoción de los mecanismos alternativos de solución de conflictos para disminuir la litigiosidad en el Estado.</w:t>
            </w:r>
            <w:r w:rsidR="0078479E" w:rsidRPr="007871B5">
              <w:rPr>
                <w:b/>
                <w:bCs/>
                <w:sz w:val="20"/>
                <w:szCs w:val="20"/>
                <w:lang w:val="es-ES"/>
              </w:rPr>
              <w:t xml:space="preserve"> </w:t>
            </w:r>
          </w:p>
          <w:p w14:paraId="72342E3E" w14:textId="77777777" w:rsidR="001711F5" w:rsidRPr="007871B5" w:rsidRDefault="008C4185" w:rsidP="003445A7">
            <w:pPr>
              <w:pStyle w:val="Prrafodelista"/>
              <w:numPr>
                <w:ilvl w:val="0"/>
                <w:numId w:val="35"/>
              </w:numPr>
              <w:jc w:val="both"/>
              <w:rPr>
                <w:bCs/>
                <w:sz w:val="20"/>
                <w:szCs w:val="20"/>
                <w:lang w:val="es-ES"/>
              </w:rPr>
            </w:pPr>
            <w:r w:rsidRPr="007871B5">
              <w:rPr>
                <w:bCs/>
                <w:sz w:val="20"/>
                <w:szCs w:val="20"/>
                <w:lang w:val="es-ES"/>
              </w:rPr>
              <w:t xml:space="preserve">Identificadas las </w:t>
            </w:r>
            <w:r w:rsidR="001711F5" w:rsidRPr="007871B5">
              <w:rPr>
                <w:bCs/>
                <w:sz w:val="20"/>
                <w:szCs w:val="20"/>
                <w:lang w:val="es-ES"/>
              </w:rPr>
              <w:t>causas de mayor litigiosidad se preparan cartillas en diferentes temas</w:t>
            </w:r>
          </w:p>
          <w:p w14:paraId="56DEEA52" w14:textId="77777777" w:rsidR="001711F5" w:rsidRPr="007871B5" w:rsidRDefault="001711F5" w:rsidP="003445A7">
            <w:pPr>
              <w:pStyle w:val="Prrafodelista"/>
              <w:numPr>
                <w:ilvl w:val="0"/>
                <w:numId w:val="49"/>
              </w:numPr>
              <w:jc w:val="both"/>
              <w:rPr>
                <w:b/>
                <w:bCs/>
                <w:sz w:val="20"/>
                <w:szCs w:val="20"/>
                <w:lang w:val="es-ES"/>
              </w:rPr>
            </w:pPr>
            <w:r w:rsidRPr="007871B5">
              <w:rPr>
                <w:b/>
                <w:bCs/>
                <w:sz w:val="20"/>
                <w:szCs w:val="20"/>
                <w:lang w:val="es-ES"/>
              </w:rPr>
              <w:t>Implementación de la conciliación / mediación en conflictos o litigios identificados como viables de solución vía MASC.</w:t>
            </w:r>
          </w:p>
          <w:p w14:paraId="40D037E9" w14:textId="77777777" w:rsidR="001711F5" w:rsidRPr="007871B5" w:rsidRDefault="001711F5" w:rsidP="003445A7">
            <w:pPr>
              <w:pStyle w:val="Prrafodelista"/>
              <w:numPr>
                <w:ilvl w:val="0"/>
                <w:numId w:val="33"/>
              </w:numPr>
              <w:jc w:val="both"/>
              <w:rPr>
                <w:bCs/>
                <w:sz w:val="20"/>
                <w:szCs w:val="20"/>
                <w:lang w:val="es-ES"/>
              </w:rPr>
            </w:pPr>
            <w:r w:rsidRPr="007871B5">
              <w:rPr>
                <w:bCs/>
                <w:sz w:val="20"/>
                <w:szCs w:val="20"/>
                <w:lang w:val="es-ES"/>
              </w:rPr>
              <w:t>Se trabaja en propuesta de reglamentación de la mediación.</w:t>
            </w:r>
          </w:p>
          <w:p w14:paraId="0EFDC39C" w14:textId="77777777" w:rsidR="001711F5" w:rsidRPr="007871B5" w:rsidRDefault="001711F5" w:rsidP="003445A7">
            <w:pPr>
              <w:pStyle w:val="Prrafodelista"/>
              <w:numPr>
                <w:ilvl w:val="0"/>
                <w:numId w:val="33"/>
              </w:numPr>
              <w:jc w:val="both"/>
              <w:rPr>
                <w:bCs/>
                <w:sz w:val="20"/>
                <w:szCs w:val="20"/>
                <w:lang w:val="es-ES"/>
              </w:rPr>
            </w:pPr>
            <w:r w:rsidRPr="007871B5">
              <w:rPr>
                <w:bCs/>
                <w:sz w:val="20"/>
                <w:szCs w:val="20"/>
                <w:lang w:val="es-ES"/>
              </w:rPr>
              <w:t>Gestiones en materia de reajuste con fundamento en IPC con las Cajas de Retiro, la Policía Nacional y el Ministerio de Defensa.</w:t>
            </w:r>
          </w:p>
          <w:p w14:paraId="3845E29B" w14:textId="77777777" w:rsidR="008C788A" w:rsidRPr="007871B5" w:rsidRDefault="001711F5" w:rsidP="003445A7">
            <w:pPr>
              <w:pStyle w:val="Prrafodelista"/>
              <w:numPr>
                <w:ilvl w:val="0"/>
                <w:numId w:val="33"/>
              </w:numPr>
              <w:jc w:val="both"/>
              <w:rPr>
                <w:bCs/>
                <w:sz w:val="20"/>
                <w:szCs w:val="20"/>
                <w:lang w:val="es-ES"/>
              </w:rPr>
            </w:pPr>
            <w:r w:rsidRPr="007871B5">
              <w:rPr>
                <w:bCs/>
                <w:sz w:val="20"/>
                <w:szCs w:val="20"/>
                <w:lang w:val="es-ES"/>
              </w:rPr>
              <w:t>Gestiones de mediación en conflictos entre algunas Entidades del Estado</w:t>
            </w:r>
          </w:p>
        </w:tc>
      </w:tr>
      <w:tr w:rsidR="008C788A" w:rsidRPr="007871B5" w14:paraId="50399A6D" w14:textId="77777777" w:rsidTr="007871B5">
        <w:tc>
          <w:tcPr>
            <w:tcW w:w="2004" w:type="dxa"/>
          </w:tcPr>
          <w:p w14:paraId="3754142D" w14:textId="77777777" w:rsidR="008C788A" w:rsidRPr="007871B5" w:rsidRDefault="001374E6" w:rsidP="007871B5">
            <w:pPr>
              <w:jc w:val="both"/>
              <w:rPr>
                <w:b/>
                <w:bCs/>
                <w:sz w:val="20"/>
                <w:szCs w:val="20"/>
                <w:lang w:val="es-ES"/>
              </w:rPr>
            </w:pPr>
            <w:r w:rsidRPr="007871B5">
              <w:rPr>
                <w:b/>
                <w:bCs/>
                <w:sz w:val="20"/>
                <w:szCs w:val="20"/>
                <w:lang w:val="es-ES"/>
              </w:rPr>
              <w:t>D</w:t>
            </w:r>
            <w:r w:rsidR="001711F5" w:rsidRPr="007871B5">
              <w:rPr>
                <w:b/>
                <w:bCs/>
                <w:sz w:val="20"/>
                <w:szCs w:val="20"/>
                <w:lang w:val="es-ES"/>
              </w:rPr>
              <w:t>efensa Asertiva</w:t>
            </w:r>
          </w:p>
        </w:tc>
        <w:tc>
          <w:tcPr>
            <w:tcW w:w="7063" w:type="dxa"/>
          </w:tcPr>
          <w:p w14:paraId="2F96CC4E" w14:textId="77777777" w:rsidR="001711F5" w:rsidRPr="007871B5" w:rsidRDefault="00D62FA2" w:rsidP="007871B5">
            <w:pPr>
              <w:jc w:val="both"/>
              <w:rPr>
                <w:bCs/>
                <w:sz w:val="20"/>
                <w:szCs w:val="20"/>
                <w:lang w:val="es-ES"/>
              </w:rPr>
            </w:pPr>
            <w:r w:rsidRPr="007871B5">
              <w:rPr>
                <w:b/>
                <w:bCs/>
                <w:sz w:val="20"/>
                <w:szCs w:val="20"/>
                <w:lang w:val="es-ES"/>
              </w:rPr>
              <w:t xml:space="preserve">1. </w:t>
            </w:r>
            <w:r w:rsidR="001711F5" w:rsidRPr="007871B5">
              <w:rPr>
                <w:b/>
                <w:bCs/>
                <w:sz w:val="20"/>
                <w:szCs w:val="20"/>
                <w:lang w:val="es-ES"/>
              </w:rPr>
              <w:t xml:space="preserve">Intervención procesal en </w:t>
            </w:r>
            <w:r w:rsidR="0078479E" w:rsidRPr="007871B5">
              <w:rPr>
                <w:b/>
                <w:bCs/>
                <w:sz w:val="20"/>
                <w:szCs w:val="20"/>
                <w:lang w:val="es-ES"/>
              </w:rPr>
              <w:t xml:space="preserve">pleitos </w:t>
            </w:r>
            <w:r w:rsidR="008C4185" w:rsidRPr="007871B5">
              <w:rPr>
                <w:b/>
                <w:bCs/>
                <w:sz w:val="20"/>
                <w:szCs w:val="20"/>
                <w:lang w:val="es-ES"/>
              </w:rPr>
              <w:t xml:space="preserve">de los 25 </w:t>
            </w:r>
            <w:r w:rsidR="0078479E" w:rsidRPr="007871B5">
              <w:rPr>
                <w:b/>
                <w:bCs/>
                <w:sz w:val="20"/>
                <w:szCs w:val="20"/>
                <w:lang w:val="es-ES"/>
              </w:rPr>
              <w:t xml:space="preserve">más costosos </w:t>
            </w:r>
            <w:r w:rsidR="001711F5" w:rsidRPr="007871B5">
              <w:rPr>
                <w:b/>
                <w:bCs/>
                <w:sz w:val="20"/>
                <w:szCs w:val="20"/>
                <w:lang w:val="es-ES"/>
              </w:rPr>
              <w:t>para el Estado.</w:t>
            </w:r>
            <w:r w:rsidR="0078479E" w:rsidRPr="007871B5">
              <w:rPr>
                <w:b/>
                <w:bCs/>
                <w:sz w:val="20"/>
                <w:szCs w:val="20"/>
                <w:lang w:val="es-ES"/>
              </w:rPr>
              <w:t xml:space="preserve">  </w:t>
            </w:r>
          </w:p>
          <w:p w14:paraId="47288A87" w14:textId="77777777" w:rsidR="001711F5" w:rsidRPr="007871B5" w:rsidRDefault="00D62FA2" w:rsidP="007871B5">
            <w:pPr>
              <w:jc w:val="both"/>
              <w:rPr>
                <w:bCs/>
                <w:sz w:val="20"/>
                <w:szCs w:val="20"/>
                <w:lang w:val="es-ES"/>
              </w:rPr>
            </w:pPr>
            <w:r w:rsidRPr="007871B5">
              <w:rPr>
                <w:b/>
                <w:bCs/>
                <w:sz w:val="20"/>
                <w:szCs w:val="20"/>
                <w:lang w:val="es-ES"/>
              </w:rPr>
              <w:t xml:space="preserve">2. </w:t>
            </w:r>
            <w:r w:rsidR="001711F5" w:rsidRPr="007871B5">
              <w:rPr>
                <w:b/>
                <w:bCs/>
                <w:sz w:val="20"/>
                <w:szCs w:val="20"/>
                <w:lang w:val="es-ES"/>
              </w:rPr>
              <w:t>Intervención procesal en los asuntos definidos por la instancia de selección (hoy DDJ)</w:t>
            </w:r>
            <w:r w:rsidR="008C4185" w:rsidRPr="007871B5">
              <w:rPr>
                <w:b/>
                <w:bCs/>
                <w:sz w:val="20"/>
                <w:szCs w:val="20"/>
                <w:lang w:val="es-ES"/>
              </w:rPr>
              <w:t xml:space="preserve">: </w:t>
            </w:r>
            <w:r w:rsidR="001711F5" w:rsidRPr="007871B5">
              <w:rPr>
                <w:bCs/>
                <w:sz w:val="20"/>
                <w:szCs w:val="20"/>
                <w:lang w:val="es-ES"/>
              </w:rPr>
              <w:t xml:space="preserve">Gestiones en 22 procesos </w:t>
            </w:r>
          </w:p>
          <w:p w14:paraId="79572DBD" w14:textId="77777777" w:rsidR="001711F5" w:rsidRPr="007871B5" w:rsidRDefault="00D62FA2" w:rsidP="007871B5">
            <w:pPr>
              <w:jc w:val="both"/>
              <w:rPr>
                <w:bCs/>
                <w:sz w:val="20"/>
                <w:szCs w:val="20"/>
                <w:lang w:val="es-ES"/>
              </w:rPr>
            </w:pPr>
            <w:r w:rsidRPr="007871B5">
              <w:rPr>
                <w:bCs/>
                <w:sz w:val="20"/>
                <w:szCs w:val="20"/>
                <w:lang w:val="es-ES"/>
              </w:rPr>
              <w:t xml:space="preserve">3. </w:t>
            </w:r>
            <w:r w:rsidR="001711F5" w:rsidRPr="007871B5">
              <w:rPr>
                <w:b/>
                <w:bCs/>
                <w:sz w:val="20"/>
                <w:szCs w:val="20"/>
                <w:lang w:val="es-ES"/>
              </w:rPr>
              <w:t>Lineamientos de estrategias de defensa específica articulados con oficinas jurídicas.</w:t>
            </w:r>
          </w:p>
          <w:p w14:paraId="20829D8E" w14:textId="77777777" w:rsidR="001711F5" w:rsidRPr="007871B5" w:rsidRDefault="001711F5" w:rsidP="003445A7">
            <w:pPr>
              <w:pStyle w:val="Prrafodelista"/>
              <w:numPr>
                <w:ilvl w:val="0"/>
                <w:numId w:val="34"/>
              </w:numPr>
              <w:jc w:val="both"/>
              <w:rPr>
                <w:bCs/>
                <w:sz w:val="20"/>
                <w:szCs w:val="20"/>
                <w:lang w:val="es-ES"/>
              </w:rPr>
            </w:pPr>
            <w:r w:rsidRPr="007871B5">
              <w:rPr>
                <w:bCs/>
                <w:sz w:val="20"/>
                <w:szCs w:val="20"/>
                <w:lang w:val="es-ES"/>
              </w:rPr>
              <w:t>Gestiones de coordinación en 42 conflictos bajo la modalidad de mesa de trabajo.</w:t>
            </w:r>
          </w:p>
          <w:p w14:paraId="4DE307A8" w14:textId="77777777" w:rsidR="008C788A" w:rsidRPr="007871B5" w:rsidRDefault="001711F5" w:rsidP="003445A7">
            <w:pPr>
              <w:pStyle w:val="Prrafodelista"/>
              <w:numPr>
                <w:ilvl w:val="0"/>
                <w:numId w:val="34"/>
              </w:numPr>
              <w:jc w:val="both"/>
              <w:rPr>
                <w:bCs/>
                <w:sz w:val="20"/>
                <w:szCs w:val="20"/>
                <w:lang w:val="es-ES"/>
              </w:rPr>
            </w:pPr>
            <w:r w:rsidRPr="007871B5">
              <w:rPr>
                <w:bCs/>
                <w:sz w:val="20"/>
                <w:szCs w:val="20"/>
                <w:lang w:val="es-ES"/>
              </w:rPr>
              <w:lastRenderedPageBreak/>
              <w:t>102 procesos del Acuerdo 006 con diagnóstico o estudio jurídico.</w:t>
            </w:r>
          </w:p>
          <w:p w14:paraId="19A9A548" w14:textId="77777777" w:rsidR="00D62FA2" w:rsidRPr="007871B5" w:rsidRDefault="001711F5" w:rsidP="003445A7">
            <w:pPr>
              <w:numPr>
                <w:ilvl w:val="0"/>
                <w:numId w:val="34"/>
              </w:numPr>
              <w:jc w:val="both"/>
              <w:rPr>
                <w:bCs/>
                <w:sz w:val="20"/>
                <w:szCs w:val="20"/>
                <w:lang w:val="es-CO"/>
              </w:rPr>
            </w:pPr>
            <w:r w:rsidRPr="007871B5">
              <w:rPr>
                <w:bCs/>
                <w:sz w:val="20"/>
                <w:szCs w:val="20"/>
                <w:lang w:val="es-CO"/>
              </w:rPr>
              <w:t>16 procesos con mesas de trabajo y se estudia posible intervención en otros procesos.</w:t>
            </w:r>
          </w:p>
          <w:p w14:paraId="1C366831" w14:textId="77777777" w:rsidR="001711F5" w:rsidRPr="007871B5" w:rsidRDefault="001711F5" w:rsidP="003445A7">
            <w:pPr>
              <w:pStyle w:val="Prrafodelista"/>
              <w:numPr>
                <w:ilvl w:val="0"/>
                <w:numId w:val="49"/>
              </w:numPr>
              <w:jc w:val="both"/>
              <w:rPr>
                <w:bCs/>
                <w:sz w:val="20"/>
                <w:szCs w:val="20"/>
                <w:lang w:val="es-CO"/>
              </w:rPr>
            </w:pPr>
            <w:r w:rsidRPr="007871B5">
              <w:rPr>
                <w:b/>
                <w:bCs/>
                <w:sz w:val="20"/>
                <w:szCs w:val="20"/>
                <w:lang w:val="es-CO"/>
              </w:rPr>
              <w:t>Gestión de recuperación de dineros: Ejercicio de la acción de repetición.</w:t>
            </w:r>
          </w:p>
          <w:p w14:paraId="6E47D9A5" w14:textId="77777777" w:rsidR="001711F5" w:rsidRPr="007871B5" w:rsidRDefault="001711F5" w:rsidP="003445A7">
            <w:pPr>
              <w:numPr>
                <w:ilvl w:val="0"/>
                <w:numId w:val="29"/>
              </w:numPr>
              <w:ind w:left="720"/>
              <w:jc w:val="both"/>
              <w:rPr>
                <w:bCs/>
                <w:sz w:val="20"/>
                <w:szCs w:val="20"/>
                <w:lang w:val="es-CO"/>
              </w:rPr>
            </w:pPr>
            <w:r w:rsidRPr="007871B5">
              <w:rPr>
                <w:bCs/>
                <w:sz w:val="20"/>
                <w:szCs w:val="20"/>
                <w:lang w:val="es-CO"/>
              </w:rPr>
              <w:t>Circular Externa No. 6 sobre el ejercicio de la acción de repetición</w:t>
            </w:r>
          </w:p>
          <w:p w14:paraId="55757179" w14:textId="77777777" w:rsidR="001711F5" w:rsidRPr="007871B5" w:rsidRDefault="001711F5" w:rsidP="003445A7">
            <w:pPr>
              <w:numPr>
                <w:ilvl w:val="0"/>
                <w:numId w:val="29"/>
              </w:numPr>
              <w:ind w:left="720"/>
              <w:jc w:val="both"/>
              <w:rPr>
                <w:bCs/>
                <w:sz w:val="20"/>
                <w:szCs w:val="20"/>
                <w:lang w:val="es-CO"/>
              </w:rPr>
            </w:pPr>
            <w:r w:rsidRPr="007871B5">
              <w:rPr>
                <w:bCs/>
                <w:sz w:val="20"/>
                <w:szCs w:val="20"/>
                <w:lang w:val="es-CO"/>
              </w:rPr>
              <w:t xml:space="preserve">Entrega de  recomendaciones a las Entidades sobre el ejercicio de la AR a través de CC. </w:t>
            </w:r>
          </w:p>
          <w:p w14:paraId="158F0367" w14:textId="77777777" w:rsidR="001711F5" w:rsidRPr="007871B5" w:rsidRDefault="001711F5" w:rsidP="003445A7">
            <w:pPr>
              <w:numPr>
                <w:ilvl w:val="0"/>
                <w:numId w:val="29"/>
              </w:numPr>
              <w:ind w:left="720"/>
              <w:jc w:val="both"/>
              <w:rPr>
                <w:bCs/>
                <w:sz w:val="20"/>
                <w:szCs w:val="20"/>
                <w:lang w:val="es-CO"/>
              </w:rPr>
            </w:pPr>
            <w:r w:rsidRPr="007871B5">
              <w:rPr>
                <w:bCs/>
                <w:sz w:val="20"/>
                <w:szCs w:val="20"/>
                <w:lang w:val="es-CO"/>
              </w:rPr>
              <w:t>Asistencia a comités de conciliación de las 14 entidades con mayor pago en sentencias  y conciliaciones donde se estudien casos de AR.</w:t>
            </w:r>
          </w:p>
          <w:p w14:paraId="2A825518" w14:textId="77777777" w:rsidR="001711F5" w:rsidRPr="007871B5" w:rsidRDefault="001711F5" w:rsidP="003445A7">
            <w:pPr>
              <w:numPr>
                <w:ilvl w:val="0"/>
                <w:numId w:val="30"/>
              </w:numPr>
              <w:ind w:left="720"/>
              <w:jc w:val="both"/>
              <w:rPr>
                <w:bCs/>
                <w:sz w:val="20"/>
                <w:szCs w:val="20"/>
                <w:lang w:val="es-CO"/>
              </w:rPr>
            </w:pPr>
            <w:r w:rsidRPr="007871B5">
              <w:rPr>
                <w:bCs/>
                <w:sz w:val="20"/>
                <w:szCs w:val="20"/>
                <w:lang w:val="es-CO"/>
              </w:rPr>
              <w:t>Gestiones de Coordinación para articulación de procesos judiciales con ESES.</w:t>
            </w:r>
          </w:p>
          <w:p w14:paraId="650748EB" w14:textId="77777777" w:rsidR="001711F5" w:rsidRPr="007871B5" w:rsidRDefault="001711F5" w:rsidP="003445A7">
            <w:pPr>
              <w:numPr>
                <w:ilvl w:val="0"/>
                <w:numId w:val="30"/>
              </w:numPr>
              <w:ind w:left="720"/>
              <w:jc w:val="both"/>
              <w:rPr>
                <w:bCs/>
                <w:sz w:val="20"/>
                <w:szCs w:val="20"/>
                <w:lang w:val="es-CO"/>
              </w:rPr>
            </w:pPr>
            <w:r w:rsidRPr="007871B5">
              <w:rPr>
                <w:bCs/>
                <w:sz w:val="20"/>
                <w:szCs w:val="20"/>
                <w:lang w:val="es-CO"/>
              </w:rPr>
              <w:t xml:space="preserve">Mesa interinstitucional de régimen de pensiones de prima media </w:t>
            </w:r>
          </w:p>
          <w:p w14:paraId="638538FC" w14:textId="77777777" w:rsidR="001711F5" w:rsidRPr="007871B5" w:rsidRDefault="001711F5" w:rsidP="003445A7">
            <w:pPr>
              <w:numPr>
                <w:ilvl w:val="0"/>
                <w:numId w:val="30"/>
              </w:numPr>
              <w:ind w:left="720"/>
              <w:jc w:val="both"/>
              <w:rPr>
                <w:bCs/>
                <w:sz w:val="20"/>
                <w:szCs w:val="20"/>
                <w:lang w:val="es-CO"/>
              </w:rPr>
            </w:pPr>
            <w:r w:rsidRPr="007871B5">
              <w:rPr>
                <w:bCs/>
                <w:sz w:val="20"/>
                <w:szCs w:val="20"/>
                <w:lang w:val="es-CO"/>
              </w:rPr>
              <w:t xml:space="preserve">Entrega de </w:t>
            </w:r>
            <w:r w:rsidRPr="007871B5">
              <w:rPr>
                <w:bCs/>
                <w:sz w:val="20"/>
                <w:szCs w:val="20"/>
                <w:lang w:val="es-MX"/>
              </w:rPr>
              <w:t xml:space="preserve">estrategias de defensa jurídica con directrices emitidas por autoridades administrativas y de control </w:t>
            </w:r>
            <w:r w:rsidRPr="007871B5">
              <w:rPr>
                <w:bCs/>
                <w:sz w:val="20"/>
                <w:szCs w:val="20"/>
                <w:lang w:val="es-CO"/>
              </w:rPr>
              <w:t>para la defensa de recursos públicos inembargables</w:t>
            </w:r>
          </w:p>
          <w:p w14:paraId="08E7FEAE" w14:textId="77777777" w:rsidR="001711F5" w:rsidRPr="007871B5" w:rsidRDefault="001711F5" w:rsidP="003445A7">
            <w:pPr>
              <w:numPr>
                <w:ilvl w:val="0"/>
                <w:numId w:val="30"/>
              </w:numPr>
              <w:ind w:left="720"/>
              <w:jc w:val="both"/>
              <w:rPr>
                <w:bCs/>
                <w:sz w:val="20"/>
                <w:szCs w:val="20"/>
                <w:lang w:val="es-CO"/>
              </w:rPr>
            </w:pPr>
            <w:r w:rsidRPr="007871B5">
              <w:rPr>
                <w:bCs/>
                <w:sz w:val="20"/>
                <w:szCs w:val="20"/>
                <w:lang w:val="es-CO"/>
              </w:rPr>
              <w:t xml:space="preserve">Intervención en Acción de Lesividad - </w:t>
            </w:r>
            <w:proofErr w:type="spellStart"/>
            <w:r w:rsidRPr="007871B5">
              <w:rPr>
                <w:bCs/>
                <w:sz w:val="20"/>
                <w:szCs w:val="20"/>
                <w:lang w:val="es-CO"/>
              </w:rPr>
              <w:t>Fonprecon</w:t>
            </w:r>
            <w:proofErr w:type="spellEnd"/>
            <w:r w:rsidRPr="007871B5">
              <w:rPr>
                <w:bCs/>
                <w:sz w:val="20"/>
                <w:szCs w:val="20"/>
                <w:lang w:val="es-CO"/>
              </w:rPr>
              <w:t xml:space="preserve"> </w:t>
            </w:r>
          </w:p>
          <w:p w14:paraId="4722189A" w14:textId="77777777" w:rsidR="001711F5" w:rsidRPr="007871B5" w:rsidRDefault="001711F5" w:rsidP="003445A7">
            <w:pPr>
              <w:numPr>
                <w:ilvl w:val="0"/>
                <w:numId w:val="30"/>
              </w:numPr>
              <w:ind w:left="720"/>
              <w:jc w:val="both"/>
              <w:rPr>
                <w:bCs/>
                <w:sz w:val="20"/>
                <w:szCs w:val="20"/>
                <w:lang w:val="es-CO"/>
              </w:rPr>
            </w:pPr>
            <w:r w:rsidRPr="007871B5">
              <w:rPr>
                <w:bCs/>
                <w:sz w:val="20"/>
                <w:szCs w:val="20"/>
                <w:lang w:val="es-CO"/>
              </w:rPr>
              <w:t>Se prepara intervención en 18 procesos relacionados con el uso abusivo del derecho en el reconocimiento de pensiones de los funcionarios de la rama judicial.</w:t>
            </w:r>
          </w:p>
          <w:p w14:paraId="0216990D" w14:textId="77777777" w:rsidR="001711F5" w:rsidRPr="007871B5" w:rsidRDefault="001711F5" w:rsidP="003445A7">
            <w:pPr>
              <w:pStyle w:val="Prrafodelista"/>
              <w:numPr>
                <w:ilvl w:val="0"/>
                <w:numId w:val="49"/>
              </w:numPr>
              <w:jc w:val="both"/>
              <w:rPr>
                <w:b/>
                <w:bCs/>
                <w:sz w:val="20"/>
                <w:szCs w:val="20"/>
                <w:lang w:val="es-CO"/>
              </w:rPr>
            </w:pPr>
            <w:r w:rsidRPr="007871B5">
              <w:rPr>
                <w:b/>
                <w:bCs/>
                <w:sz w:val="20"/>
                <w:szCs w:val="20"/>
                <w:lang w:val="es-CO"/>
              </w:rPr>
              <w:t xml:space="preserve">Cumplimiento del Acuerdo 007 de 2012 </w:t>
            </w:r>
          </w:p>
          <w:p w14:paraId="37FA37AD" w14:textId="77777777" w:rsidR="001711F5" w:rsidRPr="007871B5" w:rsidRDefault="001711F5" w:rsidP="003445A7">
            <w:pPr>
              <w:numPr>
                <w:ilvl w:val="0"/>
                <w:numId w:val="31"/>
              </w:numPr>
              <w:tabs>
                <w:tab w:val="num" w:pos="360"/>
              </w:tabs>
              <w:jc w:val="both"/>
              <w:rPr>
                <w:bCs/>
                <w:sz w:val="20"/>
                <w:szCs w:val="20"/>
                <w:lang w:val="es-CO"/>
              </w:rPr>
            </w:pPr>
            <w:r w:rsidRPr="007871B5">
              <w:rPr>
                <w:bCs/>
                <w:sz w:val="20"/>
                <w:szCs w:val="20"/>
                <w:lang w:val="es-CO"/>
              </w:rPr>
              <w:t>Se</w:t>
            </w:r>
            <w:r w:rsidR="004E113A">
              <w:rPr>
                <w:bCs/>
                <w:sz w:val="20"/>
                <w:szCs w:val="20"/>
                <w:lang w:val="es-CO"/>
              </w:rPr>
              <w:t xml:space="preserve"> terminó proceso de levantamiento de</w:t>
            </w:r>
            <w:r w:rsidRPr="007871B5">
              <w:rPr>
                <w:bCs/>
                <w:sz w:val="20"/>
                <w:szCs w:val="20"/>
                <w:lang w:val="es-CO"/>
              </w:rPr>
              <w:t xml:space="preserve"> información a fin de formular líneas de defensa</w:t>
            </w:r>
            <w:r w:rsidR="004E113A">
              <w:rPr>
                <w:bCs/>
                <w:sz w:val="20"/>
                <w:szCs w:val="20"/>
                <w:lang w:val="es-CO"/>
              </w:rPr>
              <w:t xml:space="preserve"> para Colpensiones.</w:t>
            </w:r>
          </w:p>
          <w:p w14:paraId="1536CB48" w14:textId="77777777" w:rsidR="001711F5" w:rsidRPr="007871B5" w:rsidRDefault="001711F5" w:rsidP="003445A7">
            <w:pPr>
              <w:numPr>
                <w:ilvl w:val="0"/>
                <w:numId w:val="31"/>
              </w:numPr>
              <w:tabs>
                <w:tab w:val="num" w:pos="360"/>
              </w:tabs>
              <w:jc w:val="both"/>
              <w:rPr>
                <w:bCs/>
                <w:sz w:val="20"/>
                <w:szCs w:val="20"/>
                <w:lang w:val="es-CO"/>
              </w:rPr>
            </w:pPr>
            <w:r w:rsidRPr="007871B5">
              <w:rPr>
                <w:bCs/>
                <w:sz w:val="20"/>
                <w:szCs w:val="20"/>
                <w:lang w:val="es-CO"/>
              </w:rPr>
              <w:t>Se solicitó a Colpensiones envío de invitaciones a comité de conciliación</w:t>
            </w:r>
          </w:p>
          <w:p w14:paraId="7221550E" w14:textId="77777777" w:rsidR="001711F5" w:rsidRPr="007871B5" w:rsidRDefault="001711F5" w:rsidP="003445A7">
            <w:pPr>
              <w:numPr>
                <w:ilvl w:val="0"/>
                <w:numId w:val="31"/>
              </w:numPr>
              <w:tabs>
                <w:tab w:val="num" w:pos="360"/>
              </w:tabs>
              <w:jc w:val="both"/>
              <w:rPr>
                <w:bCs/>
                <w:sz w:val="20"/>
                <w:szCs w:val="20"/>
                <w:lang w:val="es-CO"/>
              </w:rPr>
            </w:pPr>
            <w:r w:rsidRPr="007871B5">
              <w:rPr>
                <w:bCs/>
                <w:sz w:val="20"/>
                <w:szCs w:val="20"/>
                <w:lang w:val="es-CO"/>
              </w:rPr>
              <w:t xml:space="preserve">Indicador Evaluación Acuerdo 007: 60.8% </w:t>
            </w:r>
          </w:p>
          <w:p w14:paraId="03C8FA5E" w14:textId="77777777" w:rsidR="001711F5" w:rsidRPr="007871B5" w:rsidRDefault="001711F5" w:rsidP="007871B5">
            <w:pPr>
              <w:jc w:val="both"/>
              <w:rPr>
                <w:bCs/>
                <w:sz w:val="20"/>
                <w:szCs w:val="20"/>
                <w:lang w:val="es-ES"/>
              </w:rPr>
            </w:pPr>
          </w:p>
        </w:tc>
      </w:tr>
      <w:tr w:rsidR="008C788A" w:rsidRPr="007871B5" w14:paraId="78BC1844" w14:textId="77777777" w:rsidTr="007871B5">
        <w:tc>
          <w:tcPr>
            <w:tcW w:w="2004" w:type="dxa"/>
          </w:tcPr>
          <w:p w14:paraId="4CE61CDE" w14:textId="77777777" w:rsidR="008C788A" w:rsidRPr="007871B5" w:rsidRDefault="001711F5" w:rsidP="007871B5">
            <w:pPr>
              <w:jc w:val="both"/>
              <w:rPr>
                <w:b/>
                <w:bCs/>
                <w:sz w:val="20"/>
                <w:szCs w:val="20"/>
                <w:lang w:val="es-ES"/>
              </w:rPr>
            </w:pPr>
            <w:r w:rsidRPr="007871B5">
              <w:rPr>
                <w:b/>
                <w:bCs/>
                <w:sz w:val="20"/>
                <w:szCs w:val="20"/>
                <w:lang w:val="es-ES"/>
              </w:rPr>
              <w:lastRenderedPageBreak/>
              <w:t>Gestión de Defensa Internacional</w:t>
            </w:r>
          </w:p>
        </w:tc>
        <w:tc>
          <w:tcPr>
            <w:tcW w:w="7063" w:type="dxa"/>
          </w:tcPr>
          <w:p w14:paraId="32EE3F40" w14:textId="77777777" w:rsidR="001711F5" w:rsidRPr="007871B5" w:rsidRDefault="001711F5" w:rsidP="003445A7">
            <w:pPr>
              <w:pStyle w:val="Prrafodelista"/>
              <w:numPr>
                <w:ilvl w:val="0"/>
                <w:numId w:val="51"/>
              </w:numPr>
              <w:jc w:val="both"/>
              <w:rPr>
                <w:b/>
                <w:bCs/>
                <w:sz w:val="20"/>
                <w:szCs w:val="20"/>
                <w:lang w:val="es-ES"/>
              </w:rPr>
            </w:pPr>
            <w:r w:rsidRPr="007871B5">
              <w:rPr>
                <w:b/>
                <w:bCs/>
                <w:sz w:val="20"/>
                <w:szCs w:val="20"/>
                <w:lang w:val="es-ES"/>
              </w:rPr>
              <w:t xml:space="preserve">Asunción de las funciones del Grupo Operativo Internacional por parte de la Dirección de Defensa. </w:t>
            </w:r>
          </w:p>
          <w:p w14:paraId="78FD427A" w14:textId="77777777" w:rsidR="001711F5" w:rsidRPr="007871B5" w:rsidRDefault="001711F5" w:rsidP="007871B5">
            <w:pPr>
              <w:ind w:left="360"/>
              <w:jc w:val="both"/>
              <w:rPr>
                <w:bCs/>
                <w:sz w:val="20"/>
                <w:szCs w:val="20"/>
                <w:lang w:val="es-ES"/>
              </w:rPr>
            </w:pPr>
            <w:r w:rsidRPr="007871B5">
              <w:rPr>
                <w:bCs/>
                <w:sz w:val="20"/>
                <w:szCs w:val="20"/>
                <w:lang w:val="es-ES"/>
              </w:rPr>
              <w:t>•</w:t>
            </w:r>
            <w:r w:rsidRPr="007871B5">
              <w:rPr>
                <w:bCs/>
                <w:sz w:val="20"/>
                <w:szCs w:val="20"/>
                <w:lang w:val="es-ES"/>
              </w:rPr>
              <w:tab/>
              <w:t xml:space="preserve">Conformación del equipo de trabajo </w:t>
            </w:r>
          </w:p>
          <w:p w14:paraId="26EC466C" w14:textId="77777777" w:rsidR="001711F5" w:rsidRPr="007871B5" w:rsidRDefault="001711F5" w:rsidP="007871B5">
            <w:pPr>
              <w:ind w:left="360"/>
              <w:jc w:val="both"/>
              <w:rPr>
                <w:bCs/>
                <w:sz w:val="20"/>
                <w:szCs w:val="20"/>
                <w:lang w:val="es-ES"/>
              </w:rPr>
            </w:pPr>
            <w:r w:rsidRPr="007871B5">
              <w:rPr>
                <w:bCs/>
                <w:sz w:val="20"/>
                <w:szCs w:val="20"/>
                <w:lang w:val="es-ES"/>
              </w:rPr>
              <w:t>•</w:t>
            </w:r>
            <w:r w:rsidRPr="007871B5">
              <w:rPr>
                <w:bCs/>
                <w:sz w:val="20"/>
                <w:szCs w:val="20"/>
                <w:lang w:val="es-ES"/>
              </w:rPr>
              <w:tab/>
              <w:t xml:space="preserve">Definición de instrumento para seguimiento de procesos. </w:t>
            </w:r>
          </w:p>
          <w:p w14:paraId="515659B3" w14:textId="77777777" w:rsidR="008C788A" w:rsidRPr="007871B5" w:rsidRDefault="001711F5" w:rsidP="007871B5">
            <w:pPr>
              <w:ind w:left="360"/>
              <w:jc w:val="both"/>
              <w:rPr>
                <w:bCs/>
                <w:sz w:val="20"/>
                <w:szCs w:val="20"/>
                <w:lang w:val="es-ES"/>
              </w:rPr>
            </w:pPr>
            <w:r w:rsidRPr="007871B5">
              <w:rPr>
                <w:bCs/>
                <w:sz w:val="20"/>
                <w:szCs w:val="20"/>
                <w:lang w:val="es-ES"/>
              </w:rPr>
              <w:t>•</w:t>
            </w:r>
            <w:r w:rsidRPr="007871B5">
              <w:rPr>
                <w:bCs/>
                <w:sz w:val="20"/>
                <w:szCs w:val="20"/>
                <w:lang w:val="es-ES"/>
              </w:rPr>
              <w:tab/>
            </w:r>
            <w:r w:rsidR="0078479E" w:rsidRPr="007871B5">
              <w:rPr>
                <w:bCs/>
                <w:sz w:val="20"/>
                <w:szCs w:val="20"/>
                <w:lang w:val="es-ES"/>
              </w:rPr>
              <w:t>Gestión de casos que maneja el Grupo</w:t>
            </w:r>
          </w:p>
        </w:tc>
      </w:tr>
    </w:tbl>
    <w:p w14:paraId="62FBECA6" w14:textId="77777777" w:rsidR="00F25B38" w:rsidRDefault="00F25B38" w:rsidP="007871B5">
      <w:pPr>
        <w:spacing w:after="0"/>
        <w:jc w:val="center"/>
        <w:rPr>
          <w:b/>
          <w:bCs/>
          <w:sz w:val="20"/>
          <w:szCs w:val="20"/>
          <w:lang w:val="es-ES"/>
        </w:rPr>
      </w:pPr>
    </w:p>
    <w:p w14:paraId="5F6D416F" w14:textId="77777777" w:rsidR="00B44490" w:rsidRDefault="00A109BA" w:rsidP="00F25B38">
      <w:pPr>
        <w:spacing w:after="0"/>
        <w:jc w:val="center"/>
        <w:rPr>
          <w:b/>
          <w:bCs/>
          <w:sz w:val="20"/>
          <w:szCs w:val="20"/>
          <w:lang w:val="es-ES"/>
        </w:rPr>
      </w:pPr>
      <w:r w:rsidRPr="00E46994">
        <w:rPr>
          <w:b/>
          <w:bCs/>
          <w:sz w:val="20"/>
          <w:szCs w:val="20"/>
          <w:lang w:val="es-ES"/>
        </w:rPr>
        <w:t xml:space="preserve">Tabla </w:t>
      </w:r>
      <w:r w:rsidR="007E129E" w:rsidRPr="00E46994">
        <w:rPr>
          <w:b/>
          <w:bCs/>
          <w:sz w:val="20"/>
          <w:szCs w:val="20"/>
          <w:lang w:val="es-ES"/>
        </w:rPr>
        <w:t>1</w:t>
      </w:r>
      <w:r w:rsidR="00A33517">
        <w:rPr>
          <w:b/>
          <w:bCs/>
          <w:sz w:val="20"/>
          <w:szCs w:val="20"/>
          <w:lang w:val="es-ES"/>
        </w:rPr>
        <w:t>3</w:t>
      </w:r>
      <w:r w:rsidRPr="00E46994">
        <w:rPr>
          <w:b/>
          <w:bCs/>
          <w:sz w:val="20"/>
          <w:szCs w:val="20"/>
          <w:lang w:val="es-ES"/>
        </w:rPr>
        <w:t xml:space="preserve">: </w:t>
      </w:r>
      <w:r w:rsidRPr="007871B5">
        <w:rPr>
          <w:b/>
          <w:bCs/>
          <w:sz w:val="20"/>
          <w:szCs w:val="20"/>
          <w:lang w:val="es-ES"/>
        </w:rPr>
        <w:t>Logros y avances de la Dirección Políticas y Estrategias</w:t>
      </w:r>
    </w:p>
    <w:p w14:paraId="7D741C28" w14:textId="77777777" w:rsidR="00F25B38" w:rsidRPr="007871B5" w:rsidRDefault="00F25B38" w:rsidP="00F25B38">
      <w:pPr>
        <w:spacing w:after="0"/>
        <w:jc w:val="center"/>
        <w:rPr>
          <w:bCs/>
          <w:sz w:val="20"/>
          <w:szCs w:val="20"/>
          <w:lang w:val="es-ES"/>
        </w:rPr>
      </w:pPr>
    </w:p>
    <w:tbl>
      <w:tblPr>
        <w:tblStyle w:val="Tablaconcuadrcula"/>
        <w:tblW w:w="9067" w:type="dxa"/>
        <w:tblLook w:val="04A0" w:firstRow="1" w:lastRow="0" w:firstColumn="1" w:lastColumn="0" w:noHBand="0" w:noVBand="1"/>
      </w:tblPr>
      <w:tblGrid>
        <w:gridCol w:w="2166"/>
        <w:gridCol w:w="6901"/>
      </w:tblGrid>
      <w:tr w:rsidR="009076C9" w:rsidRPr="007871B5" w14:paraId="522B3A87" w14:textId="77777777" w:rsidTr="008D0522">
        <w:tc>
          <w:tcPr>
            <w:tcW w:w="9067" w:type="dxa"/>
            <w:gridSpan w:val="2"/>
            <w:shd w:val="clear" w:color="auto" w:fill="17365D" w:themeFill="text2" w:themeFillShade="BF"/>
          </w:tcPr>
          <w:p w14:paraId="6A692CC1" w14:textId="77777777" w:rsidR="008D0522" w:rsidRDefault="008D0522" w:rsidP="007871B5">
            <w:pPr>
              <w:jc w:val="center"/>
              <w:rPr>
                <w:b/>
                <w:bCs/>
                <w:sz w:val="20"/>
                <w:szCs w:val="20"/>
                <w:lang w:val="es-ES"/>
              </w:rPr>
            </w:pPr>
          </w:p>
          <w:p w14:paraId="5FE6DCA0" w14:textId="77777777" w:rsidR="009076C9" w:rsidRPr="007871B5" w:rsidRDefault="009076C9" w:rsidP="007871B5">
            <w:pPr>
              <w:jc w:val="center"/>
              <w:rPr>
                <w:b/>
                <w:bCs/>
                <w:sz w:val="20"/>
                <w:szCs w:val="20"/>
                <w:lang w:val="es-ES"/>
              </w:rPr>
            </w:pPr>
            <w:r w:rsidRPr="007871B5">
              <w:rPr>
                <w:b/>
                <w:bCs/>
                <w:sz w:val="20"/>
                <w:szCs w:val="20"/>
                <w:lang w:val="es-ES"/>
              </w:rPr>
              <w:t>DIRECCION DE POLITICAS Y ESTRATEGIAS</w:t>
            </w:r>
          </w:p>
          <w:p w14:paraId="36AAD146" w14:textId="77777777" w:rsidR="009076C9" w:rsidRPr="007871B5" w:rsidRDefault="009076C9" w:rsidP="007871B5">
            <w:pPr>
              <w:jc w:val="center"/>
              <w:rPr>
                <w:b/>
                <w:bCs/>
                <w:sz w:val="20"/>
                <w:szCs w:val="20"/>
                <w:lang w:val="es-ES"/>
              </w:rPr>
            </w:pPr>
          </w:p>
        </w:tc>
      </w:tr>
      <w:tr w:rsidR="009076C9" w:rsidRPr="007871B5" w14:paraId="1279BE97" w14:textId="77777777" w:rsidTr="007871B5">
        <w:tc>
          <w:tcPr>
            <w:tcW w:w="2166" w:type="dxa"/>
            <w:shd w:val="clear" w:color="auto" w:fill="C6D9F1" w:themeFill="text2" w:themeFillTint="33"/>
          </w:tcPr>
          <w:p w14:paraId="5F712D8D" w14:textId="77777777" w:rsidR="009076C9" w:rsidRPr="007871B5" w:rsidRDefault="009076C9" w:rsidP="007871B5">
            <w:pPr>
              <w:jc w:val="center"/>
              <w:rPr>
                <w:b/>
                <w:bCs/>
                <w:sz w:val="20"/>
                <w:szCs w:val="20"/>
                <w:lang w:val="es-ES"/>
              </w:rPr>
            </w:pPr>
            <w:r w:rsidRPr="007871B5">
              <w:rPr>
                <w:b/>
                <w:bCs/>
                <w:sz w:val="20"/>
                <w:szCs w:val="20"/>
                <w:lang w:val="es-ES"/>
              </w:rPr>
              <w:t>ACTIVIDAD Y ESTRATEGIA</w:t>
            </w:r>
          </w:p>
        </w:tc>
        <w:tc>
          <w:tcPr>
            <w:tcW w:w="6901" w:type="dxa"/>
            <w:shd w:val="clear" w:color="auto" w:fill="C6D9F1" w:themeFill="text2" w:themeFillTint="33"/>
          </w:tcPr>
          <w:p w14:paraId="13ED5244" w14:textId="77777777" w:rsidR="009076C9" w:rsidRPr="007871B5" w:rsidRDefault="009076C9" w:rsidP="007871B5">
            <w:pPr>
              <w:jc w:val="center"/>
              <w:rPr>
                <w:b/>
                <w:bCs/>
                <w:sz w:val="20"/>
                <w:szCs w:val="20"/>
                <w:lang w:val="es-ES"/>
              </w:rPr>
            </w:pPr>
            <w:r w:rsidRPr="007871B5">
              <w:rPr>
                <w:b/>
                <w:bCs/>
                <w:sz w:val="20"/>
                <w:szCs w:val="20"/>
                <w:lang w:val="es-ES"/>
              </w:rPr>
              <w:t>LOGROS Y AVANCES</w:t>
            </w:r>
          </w:p>
        </w:tc>
      </w:tr>
      <w:tr w:rsidR="009076C9" w:rsidRPr="007871B5" w14:paraId="455D35E8" w14:textId="77777777" w:rsidTr="007871B5">
        <w:tc>
          <w:tcPr>
            <w:tcW w:w="2166" w:type="dxa"/>
          </w:tcPr>
          <w:p w14:paraId="6391700F" w14:textId="77777777" w:rsidR="009076C9" w:rsidRPr="007871B5" w:rsidRDefault="00700F3C" w:rsidP="007871B5">
            <w:pPr>
              <w:jc w:val="center"/>
              <w:rPr>
                <w:b/>
                <w:bCs/>
                <w:sz w:val="20"/>
                <w:szCs w:val="20"/>
                <w:lang w:val="es-ES"/>
              </w:rPr>
            </w:pPr>
            <w:r w:rsidRPr="007871B5">
              <w:rPr>
                <w:b/>
                <w:bCs/>
                <w:sz w:val="20"/>
                <w:szCs w:val="20"/>
                <w:lang w:val="es-ES"/>
              </w:rPr>
              <w:t xml:space="preserve">Desarrollo de </w:t>
            </w:r>
            <w:r w:rsidR="009076C9" w:rsidRPr="007871B5">
              <w:rPr>
                <w:b/>
                <w:bCs/>
                <w:sz w:val="20"/>
                <w:szCs w:val="20"/>
                <w:lang w:val="es-ES"/>
              </w:rPr>
              <w:t>Proyectos</w:t>
            </w:r>
          </w:p>
        </w:tc>
        <w:tc>
          <w:tcPr>
            <w:tcW w:w="6901" w:type="dxa"/>
          </w:tcPr>
          <w:p w14:paraId="5D84DB0B" w14:textId="77777777" w:rsidR="007E129E" w:rsidRPr="000F7C47" w:rsidRDefault="007E129E" w:rsidP="007871B5">
            <w:pPr>
              <w:jc w:val="both"/>
              <w:rPr>
                <w:b/>
                <w:bCs/>
                <w:sz w:val="20"/>
                <w:szCs w:val="20"/>
                <w:lang w:val="es-CO"/>
              </w:rPr>
            </w:pPr>
            <w:r w:rsidRPr="000F7C47">
              <w:rPr>
                <w:b/>
                <w:bCs/>
                <w:sz w:val="20"/>
                <w:szCs w:val="20"/>
                <w:lang w:val="es-CO"/>
              </w:rPr>
              <w:t xml:space="preserve">Los logros y avances de la Dirección de Políticas y Estrategias  se detallan de forma completa  en la tablas </w:t>
            </w:r>
            <w:r w:rsidR="000F7C47" w:rsidRPr="000F7C47">
              <w:rPr>
                <w:b/>
                <w:bCs/>
                <w:sz w:val="20"/>
                <w:szCs w:val="20"/>
                <w:lang w:val="es-CO"/>
              </w:rPr>
              <w:t>15 a 21</w:t>
            </w:r>
          </w:p>
          <w:p w14:paraId="4CD42EE7" w14:textId="77777777" w:rsidR="007E129E" w:rsidRDefault="007E129E" w:rsidP="007871B5">
            <w:pPr>
              <w:jc w:val="both"/>
              <w:rPr>
                <w:bCs/>
                <w:sz w:val="20"/>
                <w:szCs w:val="20"/>
                <w:lang w:val="es-CO"/>
              </w:rPr>
            </w:pPr>
            <w:r>
              <w:rPr>
                <w:bCs/>
                <w:sz w:val="20"/>
                <w:szCs w:val="20"/>
                <w:lang w:val="es-CO"/>
              </w:rPr>
              <w:t xml:space="preserve"> </w:t>
            </w:r>
          </w:p>
          <w:p w14:paraId="03184211" w14:textId="77777777" w:rsidR="009076C9" w:rsidRPr="007871B5" w:rsidRDefault="009076C9" w:rsidP="007871B5">
            <w:pPr>
              <w:jc w:val="both"/>
              <w:rPr>
                <w:bCs/>
                <w:sz w:val="20"/>
                <w:szCs w:val="20"/>
                <w:lang w:val="es-CO"/>
              </w:rPr>
            </w:pPr>
            <w:r w:rsidRPr="007871B5">
              <w:rPr>
                <w:bCs/>
                <w:sz w:val="20"/>
                <w:szCs w:val="20"/>
                <w:lang w:val="es-CO"/>
              </w:rPr>
              <w:t xml:space="preserve">Estudio sobre el Pago de Sentencias y Conciliaciones </w:t>
            </w:r>
            <w:r w:rsidR="00700F3C" w:rsidRPr="007871B5">
              <w:rPr>
                <w:bCs/>
                <w:sz w:val="20"/>
                <w:szCs w:val="20"/>
                <w:lang w:val="es-CO"/>
              </w:rPr>
              <w:t xml:space="preserve"> (</w:t>
            </w:r>
            <w:r w:rsidR="001374E6" w:rsidRPr="007871B5">
              <w:rPr>
                <w:bCs/>
                <w:sz w:val="20"/>
                <w:szCs w:val="20"/>
                <w:lang w:val="es-CO"/>
              </w:rPr>
              <w:t>Terminado)</w:t>
            </w:r>
          </w:p>
          <w:p w14:paraId="54AB3A1A" w14:textId="77777777" w:rsidR="008C4185" w:rsidRPr="007871B5" w:rsidRDefault="008C4185" w:rsidP="007871B5">
            <w:pPr>
              <w:jc w:val="both"/>
              <w:rPr>
                <w:bCs/>
                <w:sz w:val="20"/>
                <w:szCs w:val="20"/>
                <w:lang w:val="es-CO"/>
              </w:rPr>
            </w:pPr>
          </w:p>
          <w:p w14:paraId="47E0CC91" w14:textId="77777777" w:rsidR="008C4185" w:rsidRPr="007871B5" w:rsidRDefault="008C4185" w:rsidP="007871B5">
            <w:pPr>
              <w:jc w:val="both"/>
              <w:rPr>
                <w:bCs/>
                <w:sz w:val="20"/>
                <w:szCs w:val="20"/>
                <w:lang w:val="es-CO"/>
              </w:rPr>
            </w:pPr>
            <w:r w:rsidRPr="007871B5">
              <w:rPr>
                <w:bCs/>
                <w:sz w:val="20"/>
                <w:szCs w:val="20"/>
                <w:lang w:val="es-CO"/>
              </w:rPr>
              <w:t>Guía para la generación de política de prevención del daño antijurídico (Terminado)</w:t>
            </w:r>
          </w:p>
          <w:p w14:paraId="1614AE58" w14:textId="77777777" w:rsidR="008C4185" w:rsidRPr="007871B5" w:rsidRDefault="008C4185" w:rsidP="007871B5">
            <w:pPr>
              <w:jc w:val="both"/>
              <w:rPr>
                <w:bCs/>
                <w:sz w:val="20"/>
                <w:szCs w:val="20"/>
                <w:lang w:val="es-CO"/>
              </w:rPr>
            </w:pPr>
          </w:p>
          <w:p w14:paraId="32712D60" w14:textId="77777777" w:rsidR="008C4185" w:rsidRPr="007871B5" w:rsidRDefault="008C4185" w:rsidP="007871B5">
            <w:pPr>
              <w:jc w:val="both"/>
              <w:rPr>
                <w:bCs/>
                <w:sz w:val="20"/>
                <w:szCs w:val="20"/>
                <w:lang w:val="es-CO"/>
              </w:rPr>
            </w:pPr>
            <w:r w:rsidRPr="007871B5">
              <w:rPr>
                <w:bCs/>
                <w:sz w:val="20"/>
                <w:szCs w:val="20"/>
                <w:lang w:val="es-CO"/>
              </w:rPr>
              <w:t>Línea jurisprudencial - Privación Injusta de la libertad (Terminado)</w:t>
            </w:r>
          </w:p>
          <w:p w14:paraId="3AE699B0" w14:textId="77777777" w:rsidR="00B2245E" w:rsidRPr="007871B5" w:rsidRDefault="00B2245E" w:rsidP="007871B5">
            <w:pPr>
              <w:jc w:val="both"/>
              <w:rPr>
                <w:bCs/>
                <w:sz w:val="20"/>
                <w:szCs w:val="20"/>
                <w:lang w:val="es-CO"/>
              </w:rPr>
            </w:pPr>
          </w:p>
          <w:p w14:paraId="3BA2B84C" w14:textId="77777777" w:rsidR="009076C9" w:rsidRPr="007871B5" w:rsidRDefault="009076C9" w:rsidP="007871B5">
            <w:pPr>
              <w:jc w:val="both"/>
              <w:rPr>
                <w:bCs/>
                <w:sz w:val="20"/>
                <w:szCs w:val="20"/>
                <w:lang w:val="es-CO"/>
              </w:rPr>
            </w:pPr>
            <w:r w:rsidRPr="007871B5">
              <w:rPr>
                <w:bCs/>
                <w:sz w:val="20"/>
                <w:szCs w:val="20"/>
                <w:lang w:val="es-CO"/>
              </w:rPr>
              <w:t xml:space="preserve">Estudio sobre la Probabilidad de éxito procesal </w:t>
            </w:r>
            <w:r w:rsidR="00700F3C" w:rsidRPr="007871B5">
              <w:rPr>
                <w:bCs/>
                <w:sz w:val="20"/>
                <w:szCs w:val="20"/>
                <w:lang w:val="es-CO"/>
              </w:rPr>
              <w:t xml:space="preserve"> (En desarrollo)</w:t>
            </w:r>
          </w:p>
          <w:p w14:paraId="6C8520C3" w14:textId="77777777" w:rsidR="00700F3C" w:rsidRPr="007871B5" w:rsidRDefault="00700F3C" w:rsidP="007871B5">
            <w:pPr>
              <w:jc w:val="both"/>
              <w:rPr>
                <w:bCs/>
                <w:sz w:val="20"/>
                <w:szCs w:val="20"/>
                <w:lang w:val="es-CO"/>
              </w:rPr>
            </w:pPr>
          </w:p>
          <w:p w14:paraId="4A46BAEC" w14:textId="77777777" w:rsidR="009076C9" w:rsidRPr="007871B5" w:rsidRDefault="009076C9" w:rsidP="007871B5">
            <w:pPr>
              <w:jc w:val="both"/>
              <w:rPr>
                <w:bCs/>
                <w:sz w:val="20"/>
                <w:szCs w:val="20"/>
                <w:lang w:val="es-CO"/>
              </w:rPr>
            </w:pPr>
            <w:r w:rsidRPr="007871B5">
              <w:rPr>
                <w:bCs/>
                <w:sz w:val="20"/>
                <w:szCs w:val="20"/>
                <w:lang w:val="es-CO"/>
              </w:rPr>
              <w:t xml:space="preserve">Estudio sobre el Contrato Realidad </w:t>
            </w:r>
            <w:r w:rsidR="00700F3C" w:rsidRPr="007871B5">
              <w:rPr>
                <w:bCs/>
                <w:sz w:val="20"/>
                <w:szCs w:val="20"/>
                <w:lang w:val="es-CO"/>
              </w:rPr>
              <w:t>(En desarrollo)</w:t>
            </w:r>
          </w:p>
          <w:p w14:paraId="167DC0BC" w14:textId="77777777" w:rsidR="009076C9" w:rsidRPr="007871B5" w:rsidRDefault="009076C9" w:rsidP="007871B5">
            <w:pPr>
              <w:jc w:val="both"/>
              <w:rPr>
                <w:bCs/>
                <w:sz w:val="20"/>
                <w:szCs w:val="20"/>
                <w:lang w:val="es-CO"/>
              </w:rPr>
            </w:pPr>
          </w:p>
          <w:p w14:paraId="7157AD55" w14:textId="77777777" w:rsidR="009076C9" w:rsidRPr="007871B5" w:rsidRDefault="009076C9" w:rsidP="007871B5">
            <w:pPr>
              <w:jc w:val="both"/>
              <w:rPr>
                <w:bCs/>
                <w:sz w:val="20"/>
                <w:szCs w:val="20"/>
                <w:lang w:val="es-CO"/>
              </w:rPr>
            </w:pPr>
            <w:r w:rsidRPr="007871B5">
              <w:rPr>
                <w:bCs/>
                <w:sz w:val="20"/>
                <w:szCs w:val="20"/>
                <w:lang w:val="es-CO"/>
              </w:rPr>
              <w:t>Protocolo para fortalecer la defensa del Estado en los procesos de tutela.</w:t>
            </w:r>
            <w:r w:rsidR="00700F3C" w:rsidRPr="007871B5">
              <w:rPr>
                <w:bCs/>
                <w:sz w:val="20"/>
                <w:szCs w:val="20"/>
                <w:lang w:val="es-CO"/>
              </w:rPr>
              <w:t xml:space="preserve"> (En desarrollo)</w:t>
            </w:r>
          </w:p>
          <w:p w14:paraId="4BA18931" w14:textId="77777777" w:rsidR="009076C9" w:rsidRPr="007871B5" w:rsidRDefault="009076C9" w:rsidP="007871B5">
            <w:pPr>
              <w:jc w:val="both"/>
              <w:rPr>
                <w:bCs/>
                <w:sz w:val="20"/>
                <w:szCs w:val="20"/>
                <w:lang w:val="es-CO"/>
              </w:rPr>
            </w:pPr>
            <w:r w:rsidRPr="007871B5">
              <w:rPr>
                <w:bCs/>
                <w:sz w:val="20"/>
                <w:szCs w:val="20"/>
                <w:lang w:val="es-CO"/>
              </w:rPr>
              <w:t xml:space="preserve">  </w:t>
            </w:r>
          </w:p>
          <w:p w14:paraId="0F190B9F" w14:textId="77777777" w:rsidR="009076C9" w:rsidRPr="007871B5" w:rsidRDefault="009076C9" w:rsidP="007871B5">
            <w:pPr>
              <w:jc w:val="both"/>
              <w:rPr>
                <w:bCs/>
                <w:sz w:val="20"/>
                <w:szCs w:val="20"/>
                <w:lang w:val="es-CO"/>
              </w:rPr>
            </w:pPr>
            <w:r w:rsidRPr="007871B5">
              <w:rPr>
                <w:bCs/>
                <w:sz w:val="20"/>
                <w:szCs w:val="20"/>
                <w:lang w:val="es-CO"/>
              </w:rPr>
              <w:t>Evaluación de la defensa del Estado</w:t>
            </w:r>
            <w:r w:rsidR="001374E6" w:rsidRPr="007871B5">
              <w:rPr>
                <w:bCs/>
                <w:sz w:val="20"/>
                <w:szCs w:val="20"/>
                <w:lang w:val="es-CO"/>
              </w:rPr>
              <w:t xml:space="preserve"> (En desarrollo)</w:t>
            </w:r>
          </w:p>
          <w:p w14:paraId="4EDF9F0A" w14:textId="77777777" w:rsidR="009076C9" w:rsidRPr="007871B5" w:rsidRDefault="009076C9" w:rsidP="007871B5">
            <w:pPr>
              <w:jc w:val="both"/>
              <w:rPr>
                <w:bCs/>
                <w:sz w:val="20"/>
                <w:szCs w:val="20"/>
                <w:lang w:val="es-CO"/>
              </w:rPr>
            </w:pPr>
          </w:p>
          <w:p w14:paraId="73E51906" w14:textId="77777777" w:rsidR="009076C9" w:rsidRPr="007871B5" w:rsidRDefault="009076C9" w:rsidP="007871B5">
            <w:pPr>
              <w:jc w:val="both"/>
              <w:rPr>
                <w:bCs/>
                <w:sz w:val="20"/>
                <w:szCs w:val="20"/>
                <w:lang w:val="es-CO"/>
              </w:rPr>
            </w:pPr>
            <w:r w:rsidRPr="007871B5">
              <w:rPr>
                <w:bCs/>
                <w:sz w:val="20"/>
                <w:szCs w:val="20"/>
                <w:lang w:val="es-CO"/>
              </w:rPr>
              <w:t>Diseño de Modelo de gestión de la defensa</w:t>
            </w:r>
            <w:r w:rsidR="00700F3C" w:rsidRPr="007871B5">
              <w:rPr>
                <w:bCs/>
                <w:sz w:val="20"/>
                <w:szCs w:val="20"/>
                <w:lang w:val="es-CO"/>
              </w:rPr>
              <w:t xml:space="preserve"> (Desarrollo) </w:t>
            </w:r>
          </w:p>
          <w:p w14:paraId="36FDE594" w14:textId="77777777" w:rsidR="009076C9" w:rsidRPr="007871B5" w:rsidRDefault="009076C9" w:rsidP="007871B5">
            <w:pPr>
              <w:jc w:val="both"/>
              <w:rPr>
                <w:b/>
                <w:bCs/>
                <w:sz w:val="20"/>
                <w:szCs w:val="20"/>
                <w:lang w:val="es-CO"/>
              </w:rPr>
            </w:pPr>
          </w:p>
        </w:tc>
      </w:tr>
    </w:tbl>
    <w:p w14:paraId="23E9E8A3" w14:textId="77777777" w:rsidR="00A109BA" w:rsidRDefault="00A109BA" w:rsidP="007871B5">
      <w:pPr>
        <w:spacing w:after="0"/>
        <w:jc w:val="both"/>
        <w:rPr>
          <w:bCs/>
          <w:sz w:val="20"/>
          <w:szCs w:val="20"/>
          <w:lang w:val="es-ES"/>
        </w:rPr>
      </w:pPr>
    </w:p>
    <w:p w14:paraId="7A3E2753" w14:textId="77777777" w:rsidR="007F45B4" w:rsidRDefault="00A109BA" w:rsidP="00F25B38">
      <w:pPr>
        <w:spacing w:after="0"/>
        <w:jc w:val="center"/>
        <w:rPr>
          <w:b/>
          <w:sz w:val="20"/>
          <w:szCs w:val="20"/>
          <w:lang w:val="es-CO"/>
        </w:rPr>
      </w:pPr>
      <w:r w:rsidRPr="00E46994">
        <w:rPr>
          <w:b/>
          <w:sz w:val="20"/>
          <w:szCs w:val="20"/>
          <w:lang w:val="es-CO"/>
        </w:rPr>
        <w:t>Tabla</w:t>
      </w:r>
      <w:r w:rsidR="007E129E" w:rsidRPr="00E46994">
        <w:rPr>
          <w:b/>
          <w:sz w:val="20"/>
          <w:szCs w:val="20"/>
          <w:lang w:val="es-CO"/>
        </w:rPr>
        <w:t xml:space="preserve"> 1</w:t>
      </w:r>
      <w:r w:rsidR="00A33517">
        <w:rPr>
          <w:b/>
          <w:sz w:val="20"/>
          <w:szCs w:val="20"/>
          <w:lang w:val="es-CO"/>
        </w:rPr>
        <w:t>4</w:t>
      </w:r>
      <w:r w:rsidR="007E129E" w:rsidRPr="00E46994">
        <w:rPr>
          <w:b/>
          <w:sz w:val="20"/>
          <w:szCs w:val="20"/>
          <w:lang w:val="es-CO"/>
        </w:rPr>
        <w:t>.</w:t>
      </w:r>
      <w:r w:rsidRPr="00E46994">
        <w:rPr>
          <w:b/>
          <w:sz w:val="20"/>
          <w:szCs w:val="20"/>
          <w:lang w:val="es-CO"/>
        </w:rPr>
        <w:t xml:space="preserve"> </w:t>
      </w:r>
      <w:r w:rsidRPr="007871B5">
        <w:rPr>
          <w:b/>
          <w:sz w:val="20"/>
          <w:szCs w:val="20"/>
          <w:lang w:val="es-CO"/>
        </w:rPr>
        <w:t>Logros y avances de la Dirección Gestión de Información</w:t>
      </w:r>
    </w:p>
    <w:p w14:paraId="3D7798F5" w14:textId="77777777" w:rsidR="00F25B38" w:rsidRPr="007871B5" w:rsidRDefault="00F25B38" w:rsidP="00F25B38">
      <w:pPr>
        <w:spacing w:after="0"/>
        <w:jc w:val="center"/>
        <w:rPr>
          <w:b/>
          <w:bCs/>
          <w:sz w:val="20"/>
          <w:szCs w:val="20"/>
          <w:lang w:val="es-ES"/>
        </w:rPr>
      </w:pPr>
    </w:p>
    <w:tbl>
      <w:tblPr>
        <w:tblStyle w:val="Tablaconcuadrcula"/>
        <w:tblW w:w="9067" w:type="dxa"/>
        <w:tblLook w:val="04A0" w:firstRow="1" w:lastRow="0" w:firstColumn="1" w:lastColumn="0" w:noHBand="0" w:noVBand="1"/>
      </w:tblPr>
      <w:tblGrid>
        <w:gridCol w:w="2166"/>
        <w:gridCol w:w="6901"/>
      </w:tblGrid>
      <w:tr w:rsidR="007F45B4" w:rsidRPr="007871B5" w14:paraId="3E8D2563" w14:textId="77777777" w:rsidTr="008D0522">
        <w:tc>
          <w:tcPr>
            <w:tcW w:w="9067" w:type="dxa"/>
            <w:gridSpan w:val="2"/>
            <w:shd w:val="clear" w:color="auto" w:fill="17365D" w:themeFill="text2" w:themeFillShade="BF"/>
          </w:tcPr>
          <w:p w14:paraId="3033C7F2" w14:textId="77777777" w:rsidR="008D0522" w:rsidRDefault="008D0522" w:rsidP="007871B5">
            <w:pPr>
              <w:jc w:val="center"/>
              <w:rPr>
                <w:b/>
                <w:bCs/>
                <w:sz w:val="20"/>
                <w:szCs w:val="20"/>
                <w:lang w:val="es-ES"/>
              </w:rPr>
            </w:pPr>
          </w:p>
          <w:p w14:paraId="4D8A59B1" w14:textId="77777777" w:rsidR="007F45B4" w:rsidRPr="007871B5" w:rsidRDefault="007F45B4" w:rsidP="007871B5">
            <w:pPr>
              <w:jc w:val="center"/>
              <w:rPr>
                <w:b/>
                <w:bCs/>
                <w:sz w:val="20"/>
                <w:szCs w:val="20"/>
                <w:lang w:val="es-ES"/>
              </w:rPr>
            </w:pPr>
            <w:r w:rsidRPr="007871B5">
              <w:rPr>
                <w:b/>
                <w:bCs/>
                <w:sz w:val="20"/>
                <w:szCs w:val="20"/>
                <w:lang w:val="es-ES"/>
              </w:rPr>
              <w:t>DIRECCION DE GESTION DE INFORMACIÓN</w:t>
            </w:r>
          </w:p>
          <w:p w14:paraId="4F9FBFC7" w14:textId="77777777" w:rsidR="007F45B4" w:rsidRPr="007871B5" w:rsidRDefault="007F45B4" w:rsidP="007871B5">
            <w:pPr>
              <w:jc w:val="both"/>
              <w:rPr>
                <w:b/>
                <w:bCs/>
                <w:sz w:val="20"/>
                <w:szCs w:val="20"/>
                <w:lang w:val="es-ES"/>
              </w:rPr>
            </w:pPr>
          </w:p>
        </w:tc>
      </w:tr>
      <w:tr w:rsidR="007F45B4" w:rsidRPr="007871B5" w14:paraId="2750237D" w14:textId="77777777" w:rsidTr="007871B5">
        <w:tc>
          <w:tcPr>
            <w:tcW w:w="2166" w:type="dxa"/>
            <w:shd w:val="clear" w:color="auto" w:fill="C6D9F1" w:themeFill="text2" w:themeFillTint="33"/>
          </w:tcPr>
          <w:p w14:paraId="47E0169D" w14:textId="77777777" w:rsidR="007F45B4" w:rsidRPr="007871B5" w:rsidRDefault="007F45B4" w:rsidP="007F45B4">
            <w:pPr>
              <w:jc w:val="center"/>
              <w:rPr>
                <w:b/>
                <w:bCs/>
                <w:sz w:val="20"/>
                <w:szCs w:val="20"/>
                <w:lang w:val="es-ES"/>
              </w:rPr>
            </w:pPr>
            <w:r w:rsidRPr="007871B5">
              <w:rPr>
                <w:b/>
                <w:bCs/>
                <w:sz w:val="20"/>
                <w:szCs w:val="20"/>
                <w:lang w:val="es-ES"/>
              </w:rPr>
              <w:t>ACTIVIDAD Y ESTRATEGIA</w:t>
            </w:r>
          </w:p>
        </w:tc>
        <w:tc>
          <w:tcPr>
            <w:tcW w:w="6901" w:type="dxa"/>
            <w:shd w:val="clear" w:color="auto" w:fill="C6D9F1" w:themeFill="text2" w:themeFillTint="33"/>
          </w:tcPr>
          <w:p w14:paraId="7AD06218" w14:textId="77777777" w:rsidR="007F45B4" w:rsidRPr="007871B5" w:rsidRDefault="007F45B4" w:rsidP="007F45B4">
            <w:pPr>
              <w:jc w:val="center"/>
              <w:rPr>
                <w:b/>
                <w:bCs/>
                <w:sz w:val="20"/>
                <w:szCs w:val="20"/>
                <w:lang w:val="es-ES"/>
              </w:rPr>
            </w:pPr>
            <w:r w:rsidRPr="007871B5">
              <w:rPr>
                <w:b/>
                <w:bCs/>
                <w:sz w:val="20"/>
                <w:szCs w:val="20"/>
                <w:lang w:val="es-ES"/>
              </w:rPr>
              <w:t>LOGROS Y AVANCES</w:t>
            </w:r>
          </w:p>
        </w:tc>
      </w:tr>
      <w:tr w:rsidR="007F45B4" w:rsidRPr="007871B5" w14:paraId="1384F387" w14:textId="77777777" w:rsidTr="007871B5">
        <w:tc>
          <w:tcPr>
            <w:tcW w:w="2166" w:type="dxa"/>
          </w:tcPr>
          <w:p w14:paraId="486E341F" w14:textId="77777777" w:rsidR="007F45B4" w:rsidRPr="007871B5" w:rsidRDefault="007F45B4" w:rsidP="007F45B4">
            <w:pPr>
              <w:jc w:val="both"/>
              <w:rPr>
                <w:b/>
                <w:bCs/>
                <w:sz w:val="20"/>
                <w:szCs w:val="20"/>
                <w:lang w:val="es-ES"/>
              </w:rPr>
            </w:pPr>
          </w:p>
          <w:p w14:paraId="46D26E91" w14:textId="77777777" w:rsidR="007F45B4" w:rsidRPr="007871B5" w:rsidRDefault="007F45B4" w:rsidP="007F45B4">
            <w:pPr>
              <w:jc w:val="both"/>
              <w:rPr>
                <w:b/>
                <w:bCs/>
                <w:sz w:val="20"/>
                <w:szCs w:val="20"/>
                <w:lang w:val="es-CO"/>
              </w:rPr>
            </w:pPr>
            <w:r w:rsidRPr="007871B5">
              <w:rPr>
                <w:b/>
                <w:bCs/>
                <w:sz w:val="20"/>
                <w:szCs w:val="20"/>
                <w:lang w:val="es-CO"/>
              </w:rPr>
              <w:t>Diseño y puesta en marcha del Sistema Único de Información Litigiosa e implementación de soluciones informáticas requeridas para la gestión del ciclo de defensa Jurídica.</w:t>
            </w:r>
          </w:p>
          <w:p w14:paraId="11E87A55" w14:textId="77777777" w:rsidR="007F45B4" w:rsidRPr="007871B5" w:rsidRDefault="007F45B4" w:rsidP="007F45B4">
            <w:pPr>
              <w:jc w:val="both"/>
              <w:rPr>
                <w:b/>
                <w:bCs/>
                <w:sz w:val="20"/>
                <w:szCs w:val="20"/>
                <w:lang w:val="es-CO"/>
              </w:rPr>
            </w:pPr>
          </w:p>
          <w:p w14:paraId="1EA9D790" w14:textId="77777777" w:rsidR="007F45B4" w:rsidRPr="007871B5" w:rsidRDefault="007F45B4" w:rsidP="007F45B4">
            <w:pPr>
              <w:jc w:val="both"/>
              <w:rPr>
                <w:b/>
                <w:bCs/>
                <w:sz w:val="20"/>
                <w:szCs w:val="20"/>
                <w:lang w:val="es-ES"/>
              </w:rPr>
            </w:pPr>
          </w:p>
        </w:tc>
        <w:tc>
          <w:tcPr>
            <w:tcW w:w="6901" w:type="dxa"/>
          </w:tcPr>
          <w:p w14:paraId="74BF6A21" w14:textId="77777777" w:rsidR="007F45B4" w:rsidRPr="007871B5" w:rsidRDefault="007F45B4" w:rsidP="003445A7">
            <w:pPr>
              <w:pStyle w:val="Prrafodelista"/>
              <w:numPr>
                <w:ilvl w:val="0"/>
                <w:numId w:val="47"/>
              </w:numPr>
              <w:jc w:val="both"/>
              <w:rPr>
                <w:b/>
                <w:bCs/>
                <w:sz w:val="20"/>
                <w:szCs w:val="20"/>
                <w:lang w:val="es-CO"/>
              </w:rPr>
            </w:pPr>
            <w:r w:rsidRPr="007871B5">
              <w:rPr>
                <w:b/>
                <w:bCs/>
                <w:sz w:val="20"/>
                <w:szCs w:val="20"/>
                <w:lang w:val="es-ES"/>
              </w:rPr>
              <w:t>Puesta en marcha del Sistema Único de Información Litigiosa.</w:t>
            </w:r>
          </w:p>
          <w:p w14:paraId="6E576461" w14:textId="77777777" w:rsidR="007F45B4" w:rsidRPr="007871B5" w:rsidRDefault="007F45B4" w:rsidP="003445A7">
            <w:pPr>
              <w:numPr>
                <w:ilvl w:val="0"/>
                <w:numId w:val="36"/>
              </w:numPr>
              <w:jc w:val="both"/>
              <w:rPr>
                <w:bCs/>
                <w:sz w:val="20"/>
                <w:szCs w:val="20"/>
                <w:lang w:val="es-CO"/>
              </w:rPr>
            </w:pPr>
            <w:r w:rsidRPr="007871B5">
              <w:rPr>
                <w:bCs/>
                <w:sz w:val="20"/>
                <w:szCs w:val="20"/>
                <w:lang w:val="es-ES"/>
              </w:rPr>
              <w:t>Recibo del Sistema a conformidad (Etapa de estabilización funcionalidades 2012)</w:t>
            </w:r>
          </w:p>
          <w:p w14:paraId="29B2C8C3" w14:textId="77777777" w:rsidR="007F45B4" w:rsidRPr="007871B5" w:rsidRDefault="007F45B4" w:rsidP="003445A7">
            <w:pPr>
              <w:numPr>
                <w:ilvl w:val="0"/>
                <w:numId w:val="36"/>
              </w:numPr>
              <w:jc w:val="both"/>
              <w:rPr>
                <w:bCs/>
                <w:sz w:val="20"/>
                <w:szCs w:val="20"/>
                <w:lang w:val="es-CO"/>
              </w:rPr>
            </w:pPr>
            <w:r w:rsidRPr="007871B5">
              <w:rPr>
                <w:bCs/>
                <w:sz w:val="20"/>
                <w:szCs w:val="20"/>
                <w:lang w:val="es-CO"/>
              </w:rPr>
              <w:t>Lanzamiento del Sistema</w:t>
            </w:r>
          </w:p>
          <w:p w14:paraId="4ACCAD7E" w14:textId="77777777" w:rsidR="007F45B4" w:rsidRPr="007871B5" w:rsidRDefault="007F45B4" w:rsidP="003445A7">
            <w:pPr>
              <w:numPr>
                <w:ilvl w:val="0"/>
                <w:numId w:val="36"/>
              </w:numPr>
              <w:jc w:val="both"/>
              <w:rPr>
                <w:bCs/>
                <w:sz w:val="20"/>
                <w:szCs w:val="20"/>
                <w:lang w:val="es-CO"/>
              </w:rPr>
            </w:pPr>
            <w:r w:rsidRPr="007871B5">
              <w:rPr>
                <w:bCs/>
                <w:sz w:val="20"/>
                <w:szCs w:val="20"/>
                <w:lang w:val="es-ES"/>
              </w:rPr>
              <w:t xml:space="preserve">Definición e implementación del modelo de sostenibilidad y soporte </w:t>
            </w:r>
            <w:r w:rsidRPr="007871B5">
              <w:rPr>
                <w:bCs/>
                <w:i/>
                <w:iCs/>
                <w:sz w:val="20"/>
                <w:szCs w:val="20"/>
                <w:lang w:val="es-ES"/>
              </w:rPr>
              <w:t>técnico</w:t>
            </w:r>
            <w:r w:rsidRPr="007871B5">
              <w:rPr>
                <w:bCs/>
                <w:sz w:val="20"/>
                <w:szCs w:val="20"/>
                <w:lang w:val="es-ES"/>
              </w:rPr>
              <w:t xml:space="preserve"> del Sistema.</w:t>
            </w:r>
          </w:p>
          <w:p w14:paraId="29288DA5" w14:textId="77777777" w:rsidR="00D62FA2" w:rsidRPr="007871B5" w:rsidRDefault="00D62FA2" w:rsidP="00D62FA2">
            <w:pPr>
              <w:ind w:left="720"/>
              <w:jc w:val="both"/>
              <w:rPr>
                <w:bCs/>
                <w:sz w:val="20"/>
                <w:szCs w:val="20"/>
                <w:lang w:val="es-CO"/>
              </w:rPr>
            </w:pPr>
          </w:p>
          <w:p w14:paraId="13CEC8BD" w14:textId="77777777" w:rsidR="007F45B4" w:rsidRPr="007871B5" w:rsidRDefault="007F45B4" w:rsidP="003445A7">
            <w:pPr>
              <w:pStyle w:val="Prrafodelista"/>
              <w:numPr>
                <w:ilvl w:val="0"/>
                <w:numId w:val="46"/>
              </w:numPr>
              <w:jc w:val="both"/>
              <w:rPr>
                <w:b/>
                <w:bCs/>
                <w:sz w:val="20"/>
                <w:szCs w:val="20"/>
                <w:lang w:val="es-CO"/>
              </w:rPr>
            </w:pPr>
            <w:r w:rsidRPr="007871B5">
              <w:rPr>
                <w:b/>
                <w:bCs/>
                <w:sz w:val="20"/>
                <w:szCs w:val="20"/>
                <w:lang w:val="es-ES"/>
              </w:rPr>
              <w:t>Enriquecimiento del Sistema a través de la implementación de nuevos módulos y nuevas funcionalidades.</w:t>
            </w:r>
          </w:p>
          <w:p w14:paraId="7EF7AD4F" w14:textId="77777777" w:rsidR="007F45B4" w:rsidRPr="007871B5" w:rsidRDefault="007F45B4" w:rsidP="003445A7">
            <w:pPr>
              <w:numPr>
                <w:ilvl w:val="0"/>
                <w:numId w:val="37"/>
              </w:numPr>
              <w:ind w:left="720"/>
              <w:jc w:val="both"/>
              <w:rPr>
                <w:bCs/>
                <w:sz w:val="20"/>
                <w:szCs w:val="20"/>
                <w:lang w:val="es-CO"/>
              </w:rPr>
            </w:pPr>
            <w:r w:rsidRPr="007871B5">
              <w:rPr>
                <w:bCs/>
                <w:sz w:val="20"/>
                <w:szCs w:val="20"/>
                <w:lang w:val="es-ES"/>
              </w:rPr>
              <w:t>Documento técnico que define la evolución del Sistema.</w:t>
            </w:r>
          </w:p>
          <w:p w14:paraId="7EC0A7CE" w14:textId="77777777" w:rsidR="007F45B4" w:rsidRPr="007871B5" w:rsidRDefault="007F45B4" w:rsidP="003445A7">
            <w:pPr>
              <w:numPr>
                <w:ilvl w:val="0"/>
                <w:numId w:val="37"/>
              </w:numPr>
              <w:ind w:left="720"/>
              <w:jc w:val="both"/>
              <w:rPr>
                <w:bCs/>
                <w:sz w:val="20"/>
                <w:szCs w:val="20"/>
                <w:lang w:val="es-CO"/>
              </w:rPr>
            </w:pPr>
            <w:r w:rsidRPr="007871B5">
              <w:rPr>
                <w:bCs/>
                <w:sz w:val="20"/>
                <w:szCs w:val="20"/>
                <w:lang w:val="es-CO"/>
              </w:rPr>
              <w:t>Documentación técnica y funcional del Sistema Único</w:t>
            </w:r>
          </w:p>
          <w:p w14:paraId="3FF290A2" w14:textId="77777777" w:rsidR="007F45B4" w:rsidRPr="007871B5" w:rsidRDefault="007F45B4" w:rsidP="003445A7">
            <w:pPr>
              <w:numPr>
                <w:ilvl w:val="0"/>
                <w:numId w:val="37"/>
              </w:numPr>
              <w:ind w:left="720"/>
              <w:jc w:val="both"/>
              <w:rPr>
                <w:bCs/>
                <w:sz w:val="20"/>
                <w:szCs w:val="20"/>
                <w:lang w:val="es-CO"/>
              </w:rPr>
            </w:pPr>
            <w:r w:rsidRPr="007871B5">
              <w:rPr>
                <w:bCs/>
                <w:sz w:val="20"/>
                <w:szCs w:val="20"/>
                <w:lang w:val="es-CO"/>
              </w:rPr>
              <w:t xml:space="preserve">Documento de </w:t>
            </w:r>
            <w:proofErr w:type="spellStart"/>
            <w:r w:rsidRPr="007871B5">
              <w:rPr>
                <w:bCs/>
                <w:sz w:val="20"/>
                <w:szCs w:val="20"/>
                <w:lang w:val="es-CO"/>
              </w:rPr>
              <w:t>parametrización</w:t>
            </w:r>
            <w:proofErr w:type="spellEnd"/>
            <w:r w:rsidRPr="007871B5">
              <w:rPr>
                <w:bCs/>
                <w:sz w:val="20"/>
                <w:szCs w:val="20"/>
                <w:lang w:val="es-CO"/>
              </w:rPr>
              <w:t xml:space="preserve"> de tablas y revisión de funcionalidades del Sistema</w:t>
            </w:r>
          </w:p>
          <w:p w14:paraId="57A367FF" w14:textId="77777777" w:rsidR="007F45B4" w:rsidRPr="007871B5" w:rsidRDefault="007F45B4" w:rsidP="003445A7">
            <w:pPr>
              <w:numPr>
                <w:ilvl w:val="0"/>
                <w:numId w:val="37"/>
              </w:numPr>
              <w:ind w:left="720"/>
              <w:jc w:val="both"/>
              <w:rPr>
                <w:bCs/>
                <w:sz w:val="20"/>
                <w:szCs w:val="20"/>
                <w:lang w:val="es-CO"/>
              </w:rPr>
            </w:pPr>
            <w:r w:rsidRPr="007871B5">
              <w:rPr>
                <w:bCs/>
                <w:sz w:val="20"/>
                <w:szCs w:val="20"/>
                <w:lang w:val="es-ES"/>
              </w:rPr>
              <w:t>Implementación de los nuevos módulos y funcionalidades del sistema.</w:t>
            </w:r>
          </w:p>
          <w:p w14:paraId="32D996FA" w14:textId="77777777" w:rsidR="007F45B4" w:rsidRPr="007871B5" w:rsidRDefault="007F45B4" w:rsidP="007F45B4">
            <w:pPr>
              <w:jc w:val="both"/>
              <w:rPr>
                <w:b/>
                <w:bCs/>
                <w:sz w:val="20"/>
                <w:szCs w:val="20"/>
                <w:lang w:val="es-CO"/>
              </w:rPr>
            </w:pPr>
          </w:p>
          <w:p w14:paraId="6081B987" w14:textId="77777777" w:rsidR="007F45B4" w:rsidRPr="007871B5" w:rsidRDefault="007F45B4" w:rsidP="003445A7">
            <w:pPr>
              <w:pStyle w:val="Prrafodelista"/>
              <w:numPr>
                <w:ilvl w:val="0"/>
                <w:numId w:val="46"/>
              </w:numPr>
              <w:jc w:val="both"/>
              <w:rPr>
                <w:b/>
                <w:bCs/>
                <w:sz w:val="20"/>
                <w:szCs w:val="20"/>
                <w:lang w:val="es-CO"/>
              </w:rPr>
            </w:pPr>
            <w:r w:rsidRPr="007871B5">
              <w:rPr>
                <w:b/>
                <w:bCs/>
                <w:sz w:val="20"/>
                <w:szCs w:val="20"/>
                <w:lang w:val="es-ES"/>
              </w:rPr>
              <w:t>Diseñar las herramientas de divulgación y capacitación del Sistema.</w:t>
            </w:r>
          </w:p>
          <w:p w14:paraId="6BB75F89" w14:textId="77777777" w:rsidR="007F45B4" w:rsidRPr="007871B5" w:rsidRDefault="007F45B4" w:rsidP="003445A7">
            <w:pPr>
              <w:numPr>
                <w:ilvl w:val="0"/>
                <w:numId w:val="38"/>
              </w:numPr>
              <w:jc w:val="both"/>
              <w:rPr>
                <w:bCs/>
                <w:sz w:val="20"/>
                <w:szCs w:val="20"/>
                <w:lang w:val="es-CO"/>
              </w:rPr>
            </w:pPr>
            <w:r w:rsidRPr="007871B5">
              <w:rPr>
                <w:bCs/>
                <w:sz w:val="20"/>
                <w:szCs w:val="20"/>
                <w:lang w:val="es-ES"/>
              </w:rPr>
              <w:t>Diseño e implementación de tutoriales.</w:t>
            </w:r>
          </w:p>
          <w:p w14:paraId="74D8EF65" w14:textId="77777777" w:rsidR="007F45B4" w:rsidRPr="007871B5" w:rsidRDefault="007F45B4" w:rsidP="003445A7">
            <w:pPr>
              <w:numPr>
                <w:ilvl w:val="0"/>
                <w:numId w:val="38"/>
              </w:numPr>
              <w:jc w:val="both"/>
              <w:rPr>
                <w:bCs/>
                <w:sz w:val="20"/>
                <w:szCs w:val="20"/>
                <w:lang w:val="es-CO"/>
              </w:rPr>
            </w:pPr>
            <w:r w:rsidRPr="007871B5">
              <w:rPr>
                <w:bCs/>
                <w:sz w:val="20"/>
                <w:szCs w:val="20"/>
                <w:lang w:val="es-ES"/>
              </w:rPr>
              <w:t>Manuales de usuario y otras ayudas técnicas.</w:t>
            </w:r>
          </w:p>
          <w:p w14:paraId="4164F3CC" w14:textId="77777777" w:rsidR="007F45B4" w:rsidRPr="007871B5" w:rsidRDefault="007F45B4" w:rsidP="007F45B4">
            <w:pPr>
              <w:jc w:val="both"/>
              <w:rPr>
                <w:b/>
                <w:bCs/>
                <w:sz w:val="20"/>
                <w:szCs w:val="20"/>
                <w:lang w:val="es-CO"/>
              </w:rPr>
            </w:pPr>
          </w:p>
          <w:p w14:paraId="58E9A78F" w14:textId="77777777" w:rsidR="007F45B4" w:rsidRPr="007871B5" w:rsidRDefault="007F45B4" w:rsidP="003445A7">
            <w:pPr>
              <w:pStyle w:val="Prrafodelista"/>
              <w:numPr>
                <w:ilvl w:val="0"/>
                <w:numId w:val="46"/>
              </w:numPr>
              <w:jc w:val="both"/>
              <w:rPr>
                <w:b/>
                <w:bCs/>
                <w:sz w:val="20"/>
                <w:szCs w:val="20"/>
                <w:lang w:val="es-CO"/>
              </w:rPr>
            </w:pPr>
            <w:r w:rsidRPr="007871B5">
              <w:rPr>
                <w:b/>
                <w:bCs/>
                <w:sz w:val="20"/>
                <w:szCs w:val="20"/>
                <w:lang w:val="es-ES"/>
              </w:rPr>
              <w:t>Definir el alcance de las herramientas estratégicas del Sistema y apoyo a la gestión en el mediano plazo.</w:t>
            </w:r>
          </w:p>
          <w:p w14:paraId="16CDF99C" w14:textId="77777777" w:rsidR="007F45B4" w:rsidRPr="007871B5" w:rsidRDefault="007F45B4" w:rsidP="003445A7">
            <w:pPr>
              <w:pStyle w:val="Prrafodelista"/>
              <w:numPr>
                <w:ilvl w:val="0"/>
                <w:numId w:val="52"/>
              </w:numPr>
              <w:jc w:val="both"/>
              <w:rPr>
                <w:bCs/>
                <w:sz w:val="20"/>
                <w:szCs w:val="20"/>
                <w:lang w:val="es-CO"/>
              </w:rPr>
            </w:pPr>
            <w:r w:rsidRPr="007871B5">
              <w:rPr>
                <w:bCs/>
                <w:sz w:val="20"/>
                <w:szCs w:val="20"/>
                <w:lang w:val="es-ES"/>
              </w:rPr>
              <w:t>Documento de Plan Estratégico de Tecnología de Información</w:t>
            </w:r>
          </w:p>
          <w:p w14:paraId="76ED9548" w14:textId="77777777" w:rsidR="007F45B4" w:rsidRPr="007871B5" w:rsidRDefault="007F45B4" w:rsidP="007F45B4">
            <w:pPr>
              <w:jc w:val="both"/>
              <w:rPr>
                <w:b/>
                <w:bCs/>
                <w:sz w:val="20"/>
                <w:szCs w:val="20"/>
                <w:lang w:val="es-CO"/>
              </w:rPr>
            </w:pPr>
          </w:p>
        </w:tc>
      </w:tr>
      <w:tr w:rsidR="007F45B4" w:rsidRPr="007871B5" w14:paraId="19CEEB5C" w14:textId="77777777" w:rsidTr="007871B5">
        <w:tc>
          <w:tcPr>
            <w:tcW w:w="2166" w:type="dxa"/>
          </w:tcPr>
          <w:p w14:paraId="6E7F4BFF" w14:textId="77777777" w:rsidR="007F45B4" w:rsidRPr="007871B5" w:rsidRDefault="007F45B4" w:rsidP="007F45B4">
            <w:pPr>
              <w:jc w:val="both"/>
              <w:rPr>
                <w:b/>
                <w:bCs/>
                <w:sz w:val="20"/>
                <w:szCs w:val="20"/>
                <w:lang w:val="es-ES"/>
              </w:rPr>
            </w:pPr>
            <w:r w:rsidRPr="007871B5">
              <w:rPr>
                <w:b/>
                <w:bCs/>
                <w:sz w:val="20"/>
                <w:szCs w:val="20"/>
                <w:lang w:val="es-ES"/>
              </w:rPr>
              <w:t>Definición e implementación del modelo de gobierno de datos e información del ciclo de defensa jurídica</w:t>
            </w:r>
          </w:p>
        </w:tc>
        <w:tc>
          <w:tcPr>
            <w:tcW w:w="6901" w:type="dxa"/>
          </w:tcPr>
          <w:p w14:paraId="24935A31" w14:textId="77777777" w:rsidR="007F45B4" w:rsidRPr="007871B5" w:rsidRDefault="007F45B4" w:rsidP="003445A7">
            <w:pPr>
              <w:pStyle w:val="Prrafodelista"/>
              <w:numPr>
                <w:ilvl w:val="0"/>
                <w:numId w:val="53"/>
              </w:numPr>
              <w:jc w:val="both"/>
              <w:rPr>
                <w:b/>
                <w:bCs/>
                <w:sz w:val="20"/>
                <w:szCs w:val="20"/>
                <w:lang w:val="es-CO"/>
              </w:rPr>
            </w:pPr>
            <w:r w:rsidRPr="007871B5">
              <w:rPr>
                <w:b/>
                <w:bCs/>
                <w:sz w:val="20"/>
                <w:szCs w:val="20"/>
                <w:lang w:val="es-CO"/>
              </w:rPr>
              <w:t>Generación de insumos para la definición del modelo de gobierno de datos.</w:t>
            </w:r>
          </w:p>
          <w:p w14:paraId="43F7DAA6" w14:textId="77777777" w:rsidR="007F45B4" w:rsidRPr="007871B5" w:rsidRDefault="007F45B4" w:rsidP="003445A7">
            <w:pPr>
              <w:numPr>
                <w:ilvl w:val="0"/>
                <w:numId w:val="39"/>
              </w:numPr>
              <w:jc w:val="both"/>
              <w:rPr>
                <w:bCs/>
                <w:sz w:val="20"/>
                <w:szCs w:val="20"/>
                <w:lang w:val="es-CO"/>
              </w:rPr>
            </w:pPr>
            <w:r w:rsidRPr="007871B5">
              <w:rPr>
                <w:bCs/>
                <w:sz w:val="20"/>
                <w:szCs w:val="20"/>
                <w:lang w:val="es-CO"/>
              </w:rPr>
              <w:t>Definición de procesos y procedimientos de depuración y validación de datos.</w:t>
            </w:r>
          </w:p>
          <w:p w14:paraId="168BEBC6" w14:textId="77777777" w:rsidR="007F45B4" w:rsidRPr="007871B5" w:rsidRDefault="007F45B4" w:rsidP="003445A7">
            <w:pPr>
              <w:numPr>
                <w:ilvl w:val="0"/>
                <w:numId w:val="39"/>
              </w:numPr>
              <w:jc w:val="both"/>
              <w:rPr>
                <w:bCs/>
                <w:sz w:val="20"/>
                <w:szCs w:val="20"/>
                <w:lang w:val="es-CO"/>
              </w:rPr>
            </w:pPr>
            <w:r w:rsidRPr="007871B5">
              <w:rPr>
                <w:bCs/>
                <w:sz w:val="20"/>
                <w:szCs w:val="20"/>
                <w:lang w:val="es-CO"/>
              </w:rPr>
              <w:t xml:space="preserve">Definición de variables de la información sobre la actividad litigiosa (diccionario de datos). </w:t>
            </w:r>
          </w:p>
          <w:p w14:paraId="10E0B9C3" w14:textId="77777777" w:rsidR="007F45B4" w:rsidRPr="007871B5" w:rsidRDefault="007F45B4" w:rsidP="003445A7">
            <w:pPr>
              <w:pStyle w:val="Prrafodelista"/>
              <w:numPr>
                <w:ilvl w:val="0"/>
                <w:numId w:val="53"/>
              </w:numPr>
              <w:jc w:val="both"/>
              <w:rPr>
                <w:b/>
                <w:bCs/>
                <w:sz w:val="20"/>
                <w:szCs w:val="20"/>
                <w:lang w:val="es-CO"/>
              </w:rPr>
            </w:pPr>
            <w:r w:rsidRPr="007871B5">
              <w:rPr>
                <w:b/>
                <w:bCs/>
                <w:sz w:val="20"/>
                <w:szCs w:val="20"/>
                <w:lang w:val="es-ES"/>
              </w:rPr>
              <w:lastRenderedPageBreak/>
              <w:t>Definir e implementar los mecanismos de migración de la información de los Sistemas alternos.</w:t>
            </w:r>
          </w:p>
          <w:p w14:paraId="18433579" w14:textId="77777777" w:rsidR="007F45B4" w:rsidRPr="007871B5" w:rsidRDefault="007F45B4" w:rsidP="003445A7">
            <w:pPr>
              <w:numPr>
                <w:ilvl w:val="0"/>
                <w:numId w:val="40"/>
              </w:numPr>
              <w:jc w:val="both"/>
              <w:rPr>
                <w:bCs/>
                <w:sz w:val="20"/>
                <w:szCs w:val="20"/>
                <w:lang w:val="es-CO"/>
              </w:rPr>
            </w:pPr>
            <w:r w:rsidRPr="007871B5">
              <w:rPr>
                <w:bCs/>
                <w:sz w:val="20"/>
                <w:szCs w:val="20"/>
                <w:lang w:val="es-CO"/>
              </w:rPr>
              <w:t>Herramientas tecnológicas para la migración de información.</w:t>
            </w:r>
          </w:p>
          <w:p w14:paraId="65672F4F" w14:textId="77777777" w:rsidR="007F45B4" w:rsidRPr="007871B5" w:rsidRDefault="007F45B4" w:rsidP="003445A7">
            <w:pPr>
              <w:numPr>
                <w:ilvl w:val="0"/>
                <w:numId w:val="40"/>
              </w:numPr>
              <w:jc w:val="both"/>
              <w:rPr>
                <w:bCs/>
                <w:sz w:val="20"/>
                <w:szCs w:val="20"/>
                <w:lang w:val="es-CO"/>
              </w:rPr>
            </w:pPr>
            <w:r w:rsidRPr="007871B5">
              <w:rPr>
                <w:bCs/>
                <w:sz w:val="20"/>
                <w:szCs w:val="20"/>
                <w:lang w:val="es-CO"/>
              </w:rPr>
              <w:t>Mecanismos de validación de la información de las entidades para migración al Sistema.</w:t>
            </w:r>
          </w:p>
          <w:p w14:paraId="428EC70F" w14:textId="77777777" w:rsidR="007F45B4" w:rsidRPr="007871B5" w:rsidRDefault="007F45B4" w:rsidP="003445A7">
            <w:pPr>
              <w:numPr>
                <w:ilvl w:val="0"/>
                <w:numId w:val="40"/>
              </w:numPr>
              <w:jc w:val="both"/>
              <w:rPr>
                <w:bCs/>
                <w:sz w:val="20"/>
                <w:szCs w:val="20"/>
                <w:lang w:val="es-CO"/>
              </w:rPr>
            </w:pPr>
            <w:r w:rsidRPr="007871B5">
              <w:rPr>
                <w:bCs/>
                <w:sz w:val="20"/>
                <w:szCs w:val="20"/>
                <w:lang w:val="es-CO"/>
              </w:rPr>
              <w:t>Formato único de migración de información al Sistema diseñado.</w:t>
            </w:r>
          </w:p>
          <w:p w14:paraId="7A7770B9" w14:textId="77777777" w:rsidR="007F45B4" w:rsidRPr="007871B5" w:rsidRDefault="007F45B4" w:rsidP="003445A7">
            <w:pPr>
              <w:numPr>
                <w:ilvl w:val="0"/>
                <w:numId w:val="40"/>
              </w:numPr>
              <w:jc w:val="both"/>
              <w:rPr>
                <w:bCs/>
                <w:sz w:val="20"/>
                <w:szCs w:val="20"/>
                <w:lang w:val="es-CO"/>
              </w:rPr>
            </w:pPr>
            <w:r w:rsidRPr="007871B5">
              <w:rPr>
                <w:bCs/>
                <w:sz w:val="20"/>
                <w:szCs w:val="20"/>
                <w:lang w:val="es-CO"/>
              </w:rPr>
              <w:t>Informes de validación de la información de las entidades para migración, producidos.</w:t>
            </w:r>
          </w:p>
          <w:p w14:paraId="532C6716" w14:textId="77777777" w:rsidR="007F45B4" w:rsidRPr="007871B5" w:rsidRDefault="007F45B4" w:rsidP="003445A7">
            <w:pPr>
              <w:pStyle w:val="Prrafodelista"/>
              <w:numPr>
                <w:ilvl w:val="0"/>
                <w:numId w:val="53"/>
              </w:numPr>
              <w:jc w:val="both"/>
              <w:rPr>
                <w:b/>
                <w:bCs/>
                <w:sz w:val="20"/>
                <w:szCs w:val="20"/>
                <w:lang w:val="es-ES"/>
              </w:rPr>
            </w:pPr>
            <w:r w:rsidRPr="007871B5">
              <w:rPr>
                <w:b/>
                <w:bCs/>
                <w:sz w:val="20"/>
                <w:szCs w:val="20"/>
                <w:lang w:val="es-ES"/>
              </w:rPr>
              <w:t>Análisis de la consistencia de datos.</w:t>
            </w:r>
          </w:p>
          <w:p w14:paraId="697B96D3" w14:textId="77777777" w:rsidR="007F45B4" w:rsidRPr="007871B5" w:rsidRDefault="007F45B4" w:rsidP="003445A7">
            <w:pPr>
              <w:numPr>
                <w:ilvl w:val="0"/>
                <w:numId w:val="41"/>
              </w:numPr>
              <w:jc w:val="both"/>
              <w:rPr>
                <w:bCs/>
                <w:sz w:val="20"/>
                <w:szCs w:val="20"/>
                <w:lang w:val="es-CO"/>
              </w:rPr>
            </w:pPr>
            <w:r w:rsidRPr="007871B5">
              <w:rPr>
                <w:bCs/>
                <w:sz w:val="20"/>
                <w:szCs w:val="20"/>
                <w:lang w:val="es-CO"/>
              </w:rPr>
              <w:t>Informe de nivel de consistencia de datos</w:t>
            </w:r>
          </w:p>
          <w:p w14:paraId="455602B4" w14:textId="77777777" w:rsidR="007F45B4" w:rsidRPr="007871B5" w:rsidRDefault="007F45B4" w:rsidP="003445A7">
            <w:pPr>
              <w:numPr>
                <w:ilvl w:val="0"/>
                <w:numId w:val="41"/>
              </w:numPr>
              <w:jc w:val="both"/>
              <w:rPr>
                <w:bCs/>
                <w:sz w:val="20"/>
                <w:szCs w:val="20"/>
                <w:lang w:val="es-CO"/>
              </w:rPr>
            </w:pPr>
            <w:r w:rsidRPr="007871B5">
              <w:rPr>
                <w:bCs/>
                <w:sz w:val="20"/>
                <w:szCs w:val="20"/>
                <w:lang w:val="es-CO"/>
              </w:rPr>
              <w:t>Informe de acciones adelantadas para la depuración y validación de la información contenida en el Sistema Único de Gestión e Información</w:t>
            </w:r>
          </w:p>
          <w:p w14:paraId="0FB29C5E" w14:textId="77777777" w:rsidR="007F45B4" w:rsidRPr="007871B5" w:rsidRDefault="007F45B4" w:rsidP="003445A7">
            <w:pPr>
              <w:numPr>
                <w:ilvl w:val="0"/>
                <w:numId w:val="41"/>
              </w:numPr>
              <w:jc w:val="both"/>
              <w:rPr>
                <w:bCs/>
                <w:sz w:val="20"/>
                <w:szCs w:val="20"/>
                <w:lang w:val="es-CO"/>
              </w:rPr>
            </w:pPr>
            <w:r w:rsidRPr="007871B5">
              <w:rPr>
                <w:bCs/>
                <w:sz w:val="20"/>
                <w:szCs w:val="20"/>
                <w:lang w:val="es-CO"/>
              </w:rPr>
              <w:t>Generación de insumos para la elaboración del Plan de Vigilancia Judicial de la información contenida en el Sistema Único de Gestión e Información</w:t>
            </w:r>
          </w:p>
          <w:p w14:paraId="522587FB" w14:textId="77777777" w:rsidR="007F45B4" w:rsidRPr="007871B5" w:rsidRDefault="007F45B4" w:rsidP="003445A7">
            <w:pPr>
              <w:pStyle w:val="Prrafodelista"/>
              <w:numPr>
                <w:ilvl w:val="0"/>
                <w:numId w:val="53"/>
              </w:numPr>
              <w:jc w:val="both"/>
              <w:rPr>
                <w:bCs/>
                <w:sz w:val="20"/>
                <w:szCs w:val="20"/>
                <w:lang w:val="es-CO"/>
              </w:rPr>
            </w:pPr>
            <w:r w:rsidRPr="007871B5">
              <w:rPr>
                <w:b/>
                <w:bCs/>
                <w:sz w:val="20"/>
                <w:szCs w:val="20"/>
                <w:lang w:val="es-ES"/>
              </w:rPr>
              <w:t>Incorporar las solicitudes de conciliación y las demandas en el Sistema</w:t>
            </w:r>
            <w:r w:rsidR="005F7483" w:rsidRPr="007871B5">
              <w:rPr>
                <w:b/>
                <w:bCs/>
                <w:sz w:val="20"/>
                <w:szCs w:val="20"/>
                <w:lang w:val="es-ES"/>
              </w:rPr>
              <w:t xml:space="preserve"> (</w:t>
            </w:r>
            <w:r w:rsidRPr="007871B5">
              <w:rPr>
                <w:bCs/>
                <w:sz w:val="20"/>
                <w:szCs w:val="20"/>
                <w:lang w:val="es-CO"/>
              </w:rPr>
              <w:t>Alimentación del Sistema</w:t>
            </w:r>
            <w:r w:rsidR="005F7483" w:rsidRPr="007871B5">
              <w:rPr>
                <w:bCs/>
                <w:sz w:val="20"/>
                <w:szCs w:val="20"/>
                <w:lang w:val="es-CO"/>
              </w:rPr>
              <w:t>)</w:t>
            </w:r>
          </w:p>
          <w:p w14:paraId="04DE8D1E" w14:textId="77777777" w:rsidR="007F45B4" w:rsidRPr="007871B5" w:rsidRDefault="007F45B4" w:rsidP="003445A7">
            <w:pPr>
              <w:pStyle w:val="Prrafodelista"/>
              <w:numPr>
                <w:ilvl w:val="0"/>
                <w:numId w:val="53"/>
              </w:numPr>
              <w:jc w:val="both"/>
              <w:rPr>
                <w:b/>
                <w:bCs/>
                <w:sz w:val="20"/>
                <w:szCs w:val="20"/>
                <w:lang w:val="es-ES"/>
              </w:rPr>
            </w:pPr>
            <w:r w:rsidRPr="007871B5">
              <w:rPr>
                <w:b/>
                <w:bCs/>
                <w:sz w:val="20"/>
                <w:szCs w:val="20"/>
                <w:lang w:val="es-ES"/>
              </w:rPr>
              <w:t>Sensibilizar y dar soporte a los usuarios del Sistema Único de Información Litigiosa</w:t>
            </w:r>
          </w:p>
          <w:p w14:paraId="68D85EB6" w14:textId="77777777" w:rsidR="007F45B4" w:rsidRPr="007871B5" w:rsidRDefault="007F45B4" w:rsidP="003445A7">
            <w:pPr>
              <w:numPr>
                <w:ilvl w:val="0"/>
                <w:numId w:val="42"/>
              </w:numPr>
              <w:ind w:left="720"/>
              <w:jc w:val="both"/>
              <w:rPr>
                <w:bCs/>
                <w:sz w:val="20"/>
                <w:szCs w:val="20"/>
                <w:lang w:val="es-CO"/>
              </w:rPr>
            </w:pPr>
            <w:r w:rsidRPr="007871B5">
              <w:rPr>
                <w:bCs/>
                <w:sz w:val="20"/>
                <w:szCs w:val="20"/>
                <w:lang w:val="es-CO"/>
              </w:rPr>
              <w:t>Capacitaciones de acuerdo con las necesidades de los usuarios, diseñadas y estructuradas.</w:t>
            </w:r>
          </w:p>
          <w:p w14:paraId="4FB64967" w14:textId="77777777" w:rsidR="007F45B4" w:rsidRPr="007871B5" w:rsidRDefault="007F45B4" w:rsidP="003445A7">
            <w:pPr>
              <w:numPr>
                <w:ilvl w:val="0"/>
                <w:numId w:val="42"/>
              </w:numPr>
              <w:ind w:left="720"/>
              <w:jc w:val="both"/>
              <w:rPr>
                <w:bCs/>
                <w:sz w:val="20"/>
                <w:szCs w:val="20"/>
                <w:lang w:val="es-CO"/>
              </w:rPr>
            </w:pPr>
            <w:r w:rsidRPr="007871B5">
              <w:rPr>
                <w:bCs/>
                <w:sz w:val="20"/>
                <w:szCs w:val="20"/>
                <w:lang w:val="es-CO"/>
              </w:rPr>
              <w:t>Plan de capacitaciones elaborado</w:t>
            </w:r>
          </w:p>
          <w:p w14:paraId="1F2AD3BB" w14:textId="77777777" w:rsidR="007F45B4" w:rsidRPr="007871B5" w:rsidRDefault="007F45B4" w:rsidP="003445A7">
            <w:pPr>
              <w:numPr>
                <w:ilvl w:val="0"/>
                <w:numId w:val="42"/>
              </w:numPr>
              <w:ind w:left="720"/>
              <w:jc w:val="both"/>
              <w:rPr>
                <w:bCs/>
                <w:sz w:val="20"/>
                <w:szCs w:val="20"/>
                <w:lang w:val="es-CO"/>
              </w:rPr>
            </w:pPr>
            <w:r w:rsidRPr="007871B5">
              <w:rPr>
                <w:bCs/>
                <w:sz w:val="20"/>
                <w:szCs w:val="20"/>
                <w:lang w:val="es-CO"/>
              </w:rPr>
              <w:t>Procedimiento para la realización de capacitaciones, diseñado</w:t>
            </w:r>
          </w:p>
          <w:p w14:paraId="49096235" w14:textId="77777777" w:rsidR="007F45B4" w:rsidRPr="007871B5" w:rsidRDefault="007F45B4" w:rsidP="003445A7">
            <w:pPr>
              <w:numPr>
                <w:ilvl w:val="0"/>
                <w:numId w:val="42"/>
              </w:numPr>
              <w:ind w:left="720"/>
              <w:jc w:val="both"/>
              <w:rPr>
                <w:bCs/>
                <w:sz w:val="20"/>
                <w:szCs w:val="20"/>
                <w:lang w:val="es-CO"/>
              </w:rPr>
            </w:pPr>
            <w:r w:rsidRPr="007871B5">
              <w:rPr>
                <w:bCs/>
                <w:sz w:val="20"/>
                <w:szCs w:val="20"/>
                <w:lang w:val="es-CO"/>
              </w:rPr>
              <w:t>Procedimientos para la ejecución del soporte funcional del Sistema a las entidades.</w:t>
            </w:r>
          </w:p>
          <w:p w14:paraId="08096AB7" w14:textId="77777777" w:rsidR="007F45B4" w:rsidRPr="007871B5" w:rsidRDefault="007F45B4" w:rsidP="003445A7">
            <w:pPr>
              <w:pStyle w:val="Prrafodelista"/>
              <w:numPr>
                <w:ilvl w:val="0"/>
                <w:numId w:val="53"/>
              </w:numPr>
              <w:jc w:val="both"/>
              <w:rPr>
                <w:b/>
                <w:bCs/>
                <w:sz w:val="20"/>
                <w:szCs w:val="20"/>
                <w:lang w:val="es-CO"/>
              </w:rPr>
            </w:pPr>
            <w:r w:rsidRPr="007871B5">
              <w:rPr>
                <w:b/>
                <w:bCs/>
                <w:sz w:val="20"/>
                <w:szCs w:val="20"/>
                <w:lang w:val="es-ES"/>
              </w:rPr>
              <w:t>Generar herramientas para optimizar el rol de las oficinas de control interno de las entidades y de los organismos de control respecto del Sistema Único de Información Litigiosa</w:t>
            </w:r>
          </w:p>
          <w:p w14:paraId="6C4FB1B0" w14:textId="77777777" w:rsidR="00526A8F" w:rsidRPr="007871B5" w:rsidRDefault="007F45B4" w:rsidP="003445A7">
            <w:pPr>
              <w:numPr>
                <w:ilvl w:val="0"/>
                <w:numId w:val="43"/>
              </w:numPr>
              <w:jc w:val="both"/>
              <w:rPr>
                <w:bCs/>
                <w:sz w:val="20"/>
                <w:szCs w:val="20"/>
                <w:lang w:val="es-CO"/>
              </w:rPr>
            </w:pPr>
            <w:r w:rsidRPr="007871B5">
              <w:rPr>
                <w:bCs/>
                <w:sz w:val="20"/>
                <w:szCs w:val="20"/>
                <w:lang w:val="es-ES"/>
              </w:rPr>
              <w:t xml:space="preserve">Convenio con organismos de control para la estandarización de la información, </w:t>
            </w:r>
            <w:proofErr w:type="spellStart"/>
            <w:r w:rsidRPr="007871B5">
              <w:rPr>
                <w:bCs/>
                <w:sz w:val="20"/>
                <w:szCs w:val="20"/>
                <w:lang w:val="es-ES"/>
              </w:rPr>
              <w:t>parametrización</w:t>
            </w:r>
            <w:proofErr w:type="spellEnd"/>
            <w:r w:rsidRPr="007871B5">
              <w:rPr>
                <w:bCs/>
                <w:sz w:val="20"/>
                <w:szCs w:val="20"/>
                <w:lang w:val="es-ES"/>
              </w:rPr>
              <w:t xml:space="preserve"> del Sistema</w:t>
            </w:r>
            <w:r w:rsidR="005F7483" w:rsidRPr="007871B5">
              <w:rPr>
                <w:bCs/>
                <w:sz w:val="20"/>
                <w:szCs w:val="20"/>
                <w:lang w:val="es-ES"/>
              </w:rPr>
              <w:t>.</w:t>
            </w:r>
          </w:p>
          <w:p w14:paraId="4860AA84" w14:textId="77777777" w:rsidR="007F45B4" w:rsidRPr="007871B5" w:rsidRDefault="007F45B4" w:rsidP="003445A7">
            <w:pPr>
              <w:pStyle w:val="Prrafodelista"/>
              <w:numPr>
                <w:ilvl w:val="0"/>
                <w:numId w:val="53"/>
              </w:numPr>
              <w:jc w:val="both"/>
              <w:rPr>
                <w:b/>
                <w:bCs/>
                <w:sz w:val="20"/>
                <w:szCs w:val="20"/>
                <w:lang w:val="es-CO"/>
              </w:rPr>
            </w:pPr>
            <w:r w:rsidRPr="007871B5">
              <w:rPr>
                <w:b/>
                <w:bCs/>
                <w:sz w:val="20"/>
                <w:szCs w:val="20"/>
                <w:lang w:val="es-ES"/>
              </w:rPr>
              <w:t>Capturar información adicional del ciclo de defensa jurídica</w:t>
            </w:r>
          </w:p>
          <w:p w14:paraId="3F7A7447" w14:textId="77777777" w:rsidR="007F45B4" w:rsidRPr="007871B5" w:rsidRDefault="007F45B4" w:rsidP="003445A7">
            <w:pPr>
              <w:numPr>
                <w:ilvl w:val="0"/>
                <w:numId w:val="43"/>
              </w:numPr>
              <w:jc w:val="both"/>
              <w:rPr>
                <w:bCs/>
                <w:sz w:val="20"/>
                <w:szCs w:val="20"/>
                <w:lang w:val="es-CO"/>
              </w:rPr>
            </w:pPr>
            <w:r w:rsidRPr="007871B5">
              <w:rPr>
                <w:bCs/>
                <w:sz w:val="20"/>
                <w:szCs w:val="20"/>
                <w:lang w:val="es-ES"/>
              </w:rPr>
              <w:t>Aplicativo para la radicación de solicitudes de conciliación vía web.</w:t>
            </w:r>
          </w:p>
          <w:p w14:paraId="57CB97F7" w14:textId="77777777" w:rsidR="007F45B4" w:rsidRPr="007871B5" w:rsidRDefault="007F45B4" w:rsidP="003445A7">
            <w:pPr>
              <w:numPr>
                <w:ilvl w:val="0"/>
                <w:numId w:val="43"/>
              </w:numPr>
              <w:jc w:val="both"/>
              <w:rPr>
                <w:bCs/>
                <w:sz w:val="20"/>
                <w:szCs w:val="20"/>
                <w:lang w:val="es-CO"/>
              </w:rPr>
            </w:pPr>
            <w:r w:rsidRPr="007871B5">
              <w:rPr>
                <w:bCs/>
                <w:sz w:val="20"/>
                <w:szCs w:val="20"/>
                <w:lang w:val="es-ES"/>
              </w:rPr>
              <w:t>Herramientas informáticas diseñadas para la captura de información secundaria</w:t>
            </w:r>
          </w:p>
          <w:p w14:paraId="3891C635" w14:textId="77777777" w:rsidR="007F45B4" w:rsidRPr="007871B5" w:rsidRDefault="007F45B4" w:rsidP="003445A7">
            <w:pPr>
              <w:pStyle w:val="Prrafodelista"/>
              <w:numPr>
                <w:ilvl w:val="0"/>
                <w:numId w:val="53"/>
              </w:numPr>
              <w:jc w:val="both"/>
              <w:rPr>
                <w:b/>
                <w:bCs/>
                <w:sz w:val="20"/>
                <w:szCs w:val="20"/>
                <w:lang w:val="es-CO"/>
              </w:rPr>
            </w:pPr>
            <w:r w:rsidRPr="007871B5">
              <w:rPr>
                <w:b/>
                <w:bCs/>
                <w:sz w:val="20"/>
                <w:szCs w:val="20"/>
                <w:lang w:val="es-ES"/>
              </w:rPr>
              <w:t>Proyecto de reforma del Decreto 1795 de 2007</w:t>
            </w:r>
          </w:p>
          <w:p w14:paraId="4B6DB32C" w14:textId="77777777" w:rsidR="007F45B4" w:rsidRPr="007871B5" w:rsidRDefault="007F45B4" w:rsidP="003445A7">
            <w:pPr>
              <w:pStyle w:val="Prrafodelista"/>
              <w:numPr>
                <w:ilvl w:val="0"/>
                <w:numId w:val="54"/>
              </w:numPr>
              <w:jc w:val="both"/>
              <w:rPr>
                <w:bCs/>
                <w:sz w:val="20"/>
                <w:szCs w:val="20"/>
                <w:lang w:val="es-CO"/>
              </w:rPr>
            </w:pPr>
            <w:r w:rsidRPr="007871B5">
              <w:rPr>
                <w:bCs/>
                <w:sz w:val="20"/>
                <w:szCs w:val="20"/>
                <w:lang w:val="es-CO"/>
              </w:rPr>
              <w:t>Entrega de Proyecto de Decreto</w:t>
            </w:r>
          </w:p>
          <w:p w14:paraId="4A7F899B" w14:textId="77777777" w:rsidR="007F45B4" w:rsidRPr="007871B5" w:rsidRDefault="007F45B4" w:rsidP="007F45B4">
            <w:pPr>
              <w:jc w:val="both"/>
              <w:rPr>
                <w:b/>
                <w:bCs/>
                <w:sz w:val="20"/>
                <w:szCs w:val="20"/>
                <w:lang w:val="es-CO"/>
              </w:rPr>
            </w:pPr>
          </w:p>
        </w:tc>
      </w:tr>
      <w:tr w:rsidR="007F45B4" w:rsidRPr="007871B5" w14:paraId="1F87C149" w14:textId="77777777" w:rsidTr="007871B5">
        <w:tc>
          <w:tcPr>
            <w:tcW w:w="2166" w:type="dxa"/>
          </w:tcPr>
          <w:p w14:paraId="3227D90D" w14:textId="77777777" w:rsidR="007F45B4" w:rsidRPr="007871B5" w:rsidRDefault="007F45B4" w:rsidP="007F45B4">
            <w:pPr>
              <w:jc w:val="both"/>
              <w:rPr>
                <w:b/>
                <w:bCs/>
                <w:sz w:val="20"/>
                <w:szCs w:val="20"/>
                <w:lang w:val="es-ES"/>
              </w:rPr>
            </w:pPr>
            <w:r w:rsidRPr="007871B5">
              <w:rPr>
                <w:b/>
                <w:bCs/>
                <w:sz w:val="20"/>
                <w:szCs w:val="20"/>
                <w:lang w:val="es-CO"/>
              </w:rPr>
              <w:lastRenderedPageBreak/>
              <w:t>Caracterización estratégica del comportamiento del ciclo de defensa jurídica e identificación de los hitos de conflictividad</w:t>
            </w:r>
          </w:p>
        </w:tc>
        <w:tc>
          <w:tcPr>
            <w:tcW w:w="6901" w:type="dxa"/>
          </w:tcPr>
          <w:p w14:paraId="3DBE9D24" w14:textId="77777777" w:rsidR="007F45B4" w:rsidRPr="007871B5" w:rsidRDefault="007F45B4" w:rsidP="003445A7">
            <w:pPr>
              <w:pStyle w:val="Prrafodelista"/>
              <w:numPr>
                <w:ilvl w:val="0"/>
                <w:numId w:val="55"/>
              </w:numPr>
              <w:jc w:val="both"/>
              <w:rPr>
                <w:b/>
                <w:bCs/>
                <w:sz w:val="20"/>
                <w:szCs w:val="20"/>
                <w:lang w:val="es-CO"/>
              </w:rPr>
            </w:pPr>
            <w:r w:rsidRPr="007871B5">
              <w:rPr>
                <w:b/>
                <w:bCs/>
                <w:sz w:val="20"/>
                <w:szCs w:val="20"/>
                <w:lang w:val="es-ES"/>
              </w:rPr>
              <w:t>Evaluación de la gestión del ciclo de defensa jurídica</w:t>
            </w:r>
          </w:p>
          <w:p w14:paraId="549F4A9D" w14:textId="77777777" w:rsidR="007F45B4" w:rsidRPr="007871B5" w:rsidRDefault="007F45B4" w:rsidP="003445A7">
            <w:pPr>
              <w:numPr>
                <w:ilvl w:val="0"/>
                <w:numId w:val="44"/>
              </w:numPr>
              <w:jc w:val="both"/>
              <w:rPr>
                <w:bCs/>
                <w:sz w:val="20"/>
                <w:szCs w:val="20"/>
                <w:lang w:val="es-CO"/>
              </w:rPr>
            </w:pPr>
            <w:r w:rsidRPr="007871B5">
              <w:rPr>
                <w:bCs/>
                <w:sz w:val="20"/>
                <w:szCs w:val="20"/>
                <w:lang w:val="es-ES"/>
              </w:rPr>
              <w:t>Encuesta de evaluación de gestión del ciclo de defensa jurídica implementada en las entidades del orden nacional.</w:t>
            </w:r>
          </w:p>
          <w:p w14:paraId="7DFE4F62" w14:textId="77777777" w:rsidR="007F45B4" w:rsidRPr="007871B5" w:rsidRDefault="007F45B4" w:rsidP="003445A7">
            <w:pPr>
              <w:numPr>
                <w:ilvl w:val="0"/>
                <w:numId w:val="44"/>
              </w:numPr>
              <w:jc w:val="both"/>
              <w:rPr>
                <w:bCs/>
                <w:sz w:val="20"/>
                <w:szCs w:val="20"/>
                <w:lang w:val="es-CO"/>
              </w:rPr>
            </w:pPr>
            <w:r w:rsidRPr="007871B5">
              <w:rPr>
                <w:bCs/>
                <w:sz w:val="20"/>
                <w:szCs w:val="20"/>
                <w:lang w:val="es-CO"/>
              </w:rPr>
              <w:t>Base de datos sobre la actividad litigiosa en materia de arbitramento, construida</w:t>
            </w:r>
          </w:p>
          <w:p w14:paraId="20386774" w14:textId="77777777" w:rsidR="007F45B4" w:rsidRPr="007871B5" w:rsidRDefault="007F45B4" w:rsidP="003445A7">
            <w:pPr>
              <w:numPr>
                <w:ilvl w:val="0"/>
                <w:numId w:val="44"/>
              </w:numPr>
              <w:jc w:val="both"/>
              <w:rPr>
                <w:bCs/>
                <w:sz w:val="20"/>
                <w:szCs w:val="20"/>
                <w:lang w:val="es-CO"/>
              </w:rPr>
            </w:pPr>
            <w:r w:rsidRPr="007871B5">
              <w:rPr>
                <w:bCs/>
                <w:sz w:val="20"/>
                <w:szCs w:val="20"/>
                <w:lang w:val="es-CO"/>
              </w:rPr>
              <w:t xml:space="preserve">Documento de análisis del estado actual de la actividad litigiosa en materia de arbitramento. </w:t>
            </w:r>
          </w:p>
          <w:p w14:paraId="2EE58291" w14:textId="77777777" w:rsidR="007F45B4" w:rsidRPr="007871B5" w:rsidRDefault="007F45B4" w:rsidP="003445A7">
            <w:pPr>
              <w:pStyle w:val="Prrafodelista"/>
              <w:numPr>
                <w:ilvl w:val="0"/>
                <w:numId w:val="55"/>
              </w:numPr>
              <w:jc w:val="both"/>
              <w:rPr>
                <w:b/>
                <w:bCs/>
                <w:sz w:val="20"/>
                <w:szCs w:val="20"/>
                <w:lang w:val="es-CO"/>
              </w:rPr>
            </w:pPr>
            <w:r w:rsidRPr="007871B5">
              <w:rPr>
                <w:b/>
                <w:bCs/>
                <w:sz w:val="20"/>
                <w:szCs w:val="20"/>
                <w:lang w:val="es-ES"/>
              </w:rPr>
              <w:t>Caracterización de la actividad litigiosa por sectores e identificación de hitos de conflictividad</w:t>
            </w:r>
          </w:p>
          <w:p w14:paraId="35CEBBB5" w14:textId="77777777" w:rsidR="007F45B4" w:rsidRPr="007871B5" w:rsidRDefault="007F45B4" w:rsidP="003445A7">
            <w:pPr>
              <w:numPr>
                <w:ilvl w:val="0"/>
                <w:numId w:val="45"/>
              </w:numPr>
              <w:jc w:val="both"/>
              <w:rPr>
                <w:bCs/>
                <w:sz w:val="20"/>
                <w:szCs w:val="20"/>
                <w:lang w:val="es-CO"/>
              </w:rPr>
            </w:pPr>
            <w:r w:rsidRPr="007871B5">
              <w:rPr>
                <w:bCs/>
                <w:sz w:val="20"/>
                <w:szCs w:val="20"/>
                <w:lang w:val="es-ES"/>
              </w:rPr>
              <w:t>Caracterización mensual de la actividad litigiosa sectorial</w:t>
            </w:r>
          </w:p>
          <w:p w14:paraId="4D1E53F5" w14:textId="082845C2" w:rsidR="007F45B4" w:rsidRPr="007871B5" w:rsidRDefault="007F45B4" w:rsidP="00187D28">
            <w:pPr>
              <w:numPr>
                <w:ilvl w:val="0"/>
                <w:numId w:val="45"/>
              </w:numPr>
              <w:jc w:val="both"/>
              <w:rPr>
                <w:b/>
                <w:bCs/>
                <w:sz w:val="20"/>
                <w:szCs w:val="20"/>
                <w:lang w:val="es-CO"/>
              </w:rPr>
            </w:pPr>
            <w:r w:rsidRPr="007871B5">
              <w:rPr>
                <w:bCs/>
                <w:sz w:val="20"/>
                <w:szCs w:val="20"/>
                <w:lang w:val="es-ES"/>
              </w:rPr>
              <w:t>Boletín trimestral sobre la actividad litigiosa de la Nación</w:t>
            </w:r>
            <w:r w:rsidRPr="007871B5">
              <w:rPr>
                <w:b/>
                <w:bCs/>
                <w:sz w:val="20"/>
                <w:szCs w:val="20"/>
                <w:lang w:val="es-ES"/>
              </w:rPr>
              <w:t xml:space="preserve">. </w:t>
            </w:r>
          </w:p>
        </w:tc>
      </w:tr>
    </w:tbl>
    <w:p w14:paraId="420C0C5E" w14:textId="77777777" w:rsidR="00FB70D4" w:rsidRPr="00FB70D4" w:rsidRDefault="00FB70D4" w:rsidP="007871B5">
      <w:pPr>
        <w:spacing w:after="0"/>
        <w:ind w:right="-283"/>
        <w:jc w:val="both"/>
        <w:rPr>
          <w:b/>
          <w:lang w:val="es-CO"/>
        </w:rPr>
      </w:pPr>
      <w:r>
        <w:rPr>
          <w:b/>
          <w:lang w:val="es-CO"/>
        </w:rPr>
        <w:lastRenderedPageBreak/>
        <w:t>7.3.</w:t>
      </w:r>
      <w:r w:rsidRPr="00FB70D4">
        <w:rPr>
          <w:lang w:val="es-CO"/>
        </w:rPr>
        <w:t xml:space="preserve"> </w:t>
      </w:r>
      <w:r>
        <w:rPr>
          <w:lang w:val="es-CO"/>
        </w:rPr>
        <w:t xml:space="preserve"> O</w:t>
      </w:r>
      <w:r w:rsidRPr="00FB70D4">
        <w:rPr>
          <w:b/>
          <w:lang w:val="es-CO"/>
        </w:rPr>
        <w:t>ptimiza</w:t>
      </w:r>
      <w:r>
        <w:rPr>
          <w:b/>
          <w:lang w:val="es-CO"/>
        </w:rPr>
        <w:t>ción de</w:t>
      </w:r>
      <w:r w:rsidRPr="00FB70D4">
        <w:rPr>
          <w:b/>
          <w:lang w:val="es-CO"/>
        </w:rPr>
        <w:t xml:space="preserve"> la gestión del ciclo de defensa jurídica.</w:t>
      </w:r>
    </w:p>
    <w:p w14:paraId="63434EAF" w14:textId="77777777" w:rsidR="006255F6" w:rsidRDefault="006255F6" w:rsidP="007871B5">
      <w:pPr>
        <w:spacing w:after="0"/>
        <w:ind w:right="-283"/>
        <w:jc w:val="both"/>
        <w:rPr>
          <w:b/>
          <w:lang w:val="es-CO"/>
        </w:rPr>
      </w:pPr>
    </w:p>
    <w:p w14:paraId="282E75EE" w14:textId="77777777" w:rsidR="00D469B1" w:rsidRPr="00D469B1" w:rsidRDefault="00D469B1" w:rsidP="007871B5">
      <w:pPr>
        <w:spacing w:after="0"/>
        <w:ind w:right="-283"/>
        <w:jc w:val="both"/>
        <w:rPr>
          <w:bCs/>
          <w:i/>
        </w:rPr>
      </w:pPr>
      <w:r w:rsidRPr="00D469B1">
        <w:rPr>
          <w:bCs/>
        </w:rPr>
        <w:t xml:space="preserve">Tal como se mencionó en el numeral 7.1 de este informe, el CONPES 3722 se tiene dentro de sus componentes el </w:t>
      </w:r>
      <w:r w:rsidRPr="00D469B1">
        <w:rPr>
          <w:bCs/>
          <w:i/>
        </w:rPr>
        <w:t>“Mejorar la gestión del ciclo de defensa jurídica”.</w:t>
      </w:r>
    </w:p>
    <w:p w14:paraId="196EE396" w14:textId="77777777" w:rsidR="00D469B1" w:rsidRPr="00343C9F" w:rsidRDefault="00D469B1" w:rsidP="007871B5">
      <w:pPr>
        <w:spacing w:after="0"/>
        <w:ind w:right="-283"/>
        <w:jc w:val="both"/>
      </w:pPr>
    </w:p>
    <w:p w14:paraId="4E1DA6D7" w14:textId="77777777" w:rsidR="00343C9F" w:rsidRDefault="00343C9F" w:rsidP="007871B5">
      <w:pPr>
        <w:spacing w:after="0"/>
        <w:ind w:right="-283"/>
        <w:jc w:val="both"/>
        <w:rPr>
          <w:lang w:val="es-CO"/>
        </w:rPr>
      </w:pPr>
      <w:r>
        <w:rPr>
          <w:lang w:val="es-CO"/>
        </w:rPr>
        <w:t>El alcance de esta mejora está enfocado a los siguientes aspectos</w:t>
      </w:r>
      <w:r w:rsidRPr="00343C9F">
        <w:rPr>
          <w:lang w:val="es-CO"/>
        </w:rPr>
        <w:t>:</w:t>
      </w:r>
    </w:p>
    <w:p w14:paraId="62966C88" w14:textId="77777777" w:rsidR="00343C9F" w:rsidRPr="00343C9F" w:rsidRDefault="00343C9F" w:rsidP="007871B5">
      <w:pPr>
        <w:spacing w:after="0"/>
        <w:ind w:right="-283"/>
        <w:jc w:val="both"/>
        <w:rPr>
          <w:lang w:val="es-CO"/>
        </w:rPr>
      </w:pPr>
    </w:p>
    <w:p w14:paraId="3FCE82DC" w14:textId="77777777" w:rsidR="00343C9F" w:rsidRPr="00343C9F" w:rsidRDefault="004E113A" w:rsidP="003445A7">
      <w:pPr>
        <w:numPr>
          <w:ilvl w:val="0"/>
          <w:numId w:val="56"/>
        </w:numPr>
        <w:tabs>
          <w:tab w:val="clear" w:pos="720"/>
          <w:tab w:val="num" w:pos="1080"/>
        </w:tabs>
        <w:spacing w:after="0"/>
        <w:ind w:left="360" w:right="-283"/>
        <w:jc w:val="both"/>
        <w:rPr>
          <w:lang w:val="es-CO"/>
        </w:rPr>
      </w:pPr>
      <w:r>
        <w:rPr>
          <w:lang w:val="es-CO"/>
        </w:rPr>
        <w:t>F</w:t>
      </w:r>
      <w:r w:rsidR="00343C9F" w:rsidRPr="00343C9F">
        <w:rPr>
          <w:lang w:val="es-CO"/>
        </w:rPr>
        <w:t xml:space="preserve">ormulación de estrategias de </w:t>
      </w:r>
      <w:r w:rsidR="00343C9F" w:rsidRPr="00343C9F">
        <w:rPr>
          <w:bCs/>
          <w:lang w:val="es-CO"/>
        </w:rPr>
        <w:t xml:space="preserve">prevención del daño </w:t>
      </w:r>
      <w:r w:rsidR="00343C9F" w:rsidRPr="00343C9F">
        <w:rPr>
          <w:lang w:val="es-CO"/>
        </w:rPr>
        <w:t>antijurídico</w:t>
      </w:r>
    </w:p>
    <w:p w14:paraId="707F0983" w14:textId="77777777" w:rsidR="00343C9F" w:rsidRPr="00343C9F" w:rsidRDefault="004E113A" w:rsidP="003445A7">
      <w:pPr>
        <w:numPr>
          <w:ilvl w:val="0"/>
          <w:numId w:val="56"/>
        </w:numPr>
        <w:tabs>
          <w:tab w:val="clear" w:pos="720"/>
          <w:tab w:val="num" w:pos="1080"/>
        </w:tabs>
        <w:spacing w:after="0"/>
        <w:ind w:left="360" w:right="-283"/>
        <w:jc w:val="both"/>
        <w:rPr>
          <w:lang w:val="es-CO"/>
        </w:rPr>
      </w:pPr>
      <w:r>
        <w:rPr>
          <w:lang w:val="es-CO"/>
        </w:rPr>
        <w:t>E</w:t>
      </w:r>
      <w:r w:rsidR="00343C9F" w:rsidRPr="00343C9F">
        <w:rPr>
          <w:lang w:val="es-CO"/>
        </w:rPr>
        <w:t xml:space="preserve">laboración de criterios e incentivos de utilización del método de la </w:t>
      </w:r>
      <w:r w:rsidR="00343C9F" w:rsidRPr="00343C9F">
        <w:rPr>
          <w:bCs/>
          <w:lang w:val="es-CO"/>
        </w:rPr>
        <w:t>conciliación</w:t>
      </w:r>
    </w:p>
    <w:p w14:paraId="549CCD64" w14:textId="77777777" w:rsidR="00343C9F" w:rsidRPr="00343C9F" w:rsidRDefault="004E113A" w:rsidP="003445A7">
      <w:pPr>
        <w:numPr>
          <w:ilvl w:val="0"/>
          <w:numId w:val="56"/>
        </w:numPr>
        <w:tabs>
          <w:tab w:val="clear" w:pos="720"/>
          <w:tab w:val="num" w:pos="1080"/>
        </w:tabs>
        <w:spacing w:after="0"/>
        <w:ind w:left="360" w:right="-283"/>
        <w:jc w:val="both"/>
        <w:rPr>
          <w:lang w:val="es-CO"/>
        </w:rPr>
      </w:pPr>
      <w:r>
        <w:rPr>
          <w:lang w:val="es-CO"/>
        </w:rPr>
        <w:t>D</w:t>
      </w:r>
      <w:r w:rsidR="00343C9F" w:rsidRPr="00343C9F">
        <w:rPr>
          <w:lang w:val="es-CO"/>
        </w:rPr>
        <w:t xml:space="preserve">iseño de nuevas estrategias de </w:t>
      </w:r>
      <w:r w:rsidR="00343C9F" w:rsidRPr="00343C9F">
        <w:rPr>
          <w:bCs/>
          <w:lang w:val="es-CO"/>
        </w:rPr>
        <w:t>defensa jurídica</w:t>
      </w:r>
      <w:r w:rsidR="00343C9F" w:rsidRPr="00343C9F">
        <w:rPr>
          <w:lang w:val="es-CO"/>
        </w:rPr>
        <w:t xml:space="preserve"> ante órganos judiciales nacionales e internacionales</w:t>
      </w:r>
    </w:p>
    <w:p w14:paraId="1E805743" w14:textId="77777777" w:rsidR="00343C9F" w:rsidRPr="00343C9F" w:rsidRDefault="004E113A" w:rsidP="003445A7">
      <w:pPr>
        <w:numPr>
          <w:ilvl w:val="0"/>
          <w:numId w:val="56"/>
        </w:numPr>
        <w:tabs>
          <w:tab w:val="clear" w:pos="720"/>
          <w:tab w:val="num" w:pos="1080"/>
        </w:tabs>
        <w:spacing w:after="0"/>
        <w:ind w:left="360" w:right="-283"/>
        <w:jc w:val="both"/>
        <w:rPr>
          <w:lang w:val="es-CO"/>
        </w:rPr>
      </w:pPr>
      <w:r>
        <w:rPr>
          <w:lang w:val="es-CO"/>
        </w:rPr>
        <w:t>D</w:t>
      </w:r>
      <w:r w:rsidR="00343C9F" w:rsidRPr="00343C9F">
        <w:rPr>
          <w:lang w:val="es-CO"/>
        </w:rPr>
        <w:t xml:space="preserve">iseño de procedimientos para una gestión eficiente de los </w:t>
      </w:r>
      <w:r w:rsidR="00343C9F" w:rsidRPr="00343C9F">
        <w:rPr>
          <w:bCs/>
          <w:lang w:val="es-CO"/>
        </w:rPr>
        <w:t>pagos por sentencias</w:t>
      </w:r>
    </w:p>
    <w:p w14:paraId="3CA06854" w14:textId="77777777" w:rsidR="00343C9F" w:rsidRPr="00343C9F" w:rsidRDefault="004E113A" w:rsidP="003445A7">
      <w:pPr>
        <w:numPr>
          <w:ilvl w:val="0"/>
          <w:numId w:val="56"/>
        </w:numPr>
        <w:tabs>
          <w:tab w:val="clear" w:pos="720"/>
          <w:tab w:val="num" w:pos="1080"/>
        </w:tabs>
        <w:spacing w:after="0"/>
        <w:ind w:left="360" w:right="-283"/>
        <w:jc w:val="both"/>
        <w:rPr>
          <w:lang w:val="es-CO"/>
        </w:rPr>
      </w:pPr>
      <w:r>
        <w:rPr>
          <w:lang w:val="es-CO"/>
        </w:rPr>
        <w:t>D</w:t>
      </w:r>
      <w:r w:rsidR="00343C9F" w:rsidRPr="00343C9F">
        <w:rPr>
          <w:lang w:val="es-CO"/>
        </w:rPr>
        <w:t xml:space="preserve">iseño e implementación inicial de un plan de </w:t>
      </w:r>
      <w:r w:rsidR="00343C9F" w:rsidRPr="00343C9F">
        <w:rPr>
          <w:bCs/>
          <w:lang w:val="es-CO"/>
        </w:rPr>
        <w:t xml:space="preserve">restructuración de las oficinas de defensa jurídica </w:t>
      </w:r>
      <w:r w:rsidR="00343C9F" w:rsidRPr="00343C9F">
        <w:rPr>
          <w:lang w:val="es-CO"/>
        </w:rPr>
        <w:t xml:space="preserve">en entidades públicas. </w:t>
      </w:r>
    </w:p>
    <w:p w14:paraId="70CF20D3" w14:textId="77777777" w:rsidR="00343C9F" w:rsidRPr="00343C9F" w:rsidRDefault="004E113A" w:rsidP="003445A7">
      <w:pPr>
        <w:numPr>
          <w:ilvl w:val="0"/>
          <w:numId w:val="56"/>
        </w:numPr>
        <w:tabs>
          <w:tab w:val="clear" w:pos="720"/>
          <w:tab w:val="num" w:pos="1080"/>
        </w:tabs>
        <w:spacing w:after="0"/>
        <w:ind w:left="360" w:right="-283"/>
        <w:jc w:val="both"/>
        <w:rPr>
          <w:lang w:val="es-CO"/>
        </w:rPr>
      </w:pPr>
      <w:r>
        <w:rPr>
          <w:lang w:val="es-CO"/>
        </w:rPr>
        <w:t>I</w:t>
      </w:r>
      <w:r w:rsidR="00343C9F" w:rsidRPr="00343C9F">
        <w:rPr>
          <w:lang w:val="es-CO"/>
        </w:rPr>
        <w:t xml:space="preserve">mplementación del nuevo </w:t>
      </w:r>
      <w:r w:rsidR="00343C9F" w:rsidRPr="00343C9F">
        <w:rPr>
          <w:bCs/>
          <w:lang w:val="es-CO"/>
        </w:rPr>
        <w:t>sistema de gestión de casos</w:t>
      </w:r>
      <w:r w:rsidR="00343C9F">
        <w:rPr>
          <w:bCs/>
          <w:lang w:val="es-CO"/>
        </w:rPr>
        <w:t>.</w:t>
      </w:r>
    </w:p>
    <w:p w14:paraId="552B3556" w14:textId="77777777" w:rsidR="00343C9F" w:rsidRPr="00343C9F" w:rsidRDefault="00343C9F" w:rsidP="007871B5">
      <w:pPr>
        <w:spacing w:after="0"/>
        <w:ind w:left="360" w:right="-283"/>
        <w:jc w:val="both"/>
        <w:rPr>
          <w:b/>
          <w:lang w:val="es-CO"/>
        </w:rPr>
      </w:pPr>
    </w:p>
    <w:p w14:paraId="75AA19A7" w14:textId="77777777" w:rsidR="008D1223" w:rsidRPr="008824A1" w:rsidRDefault="00343C9F" w:rsidP="007871B5">
      <w:pPr>
        <w:spacing w:after="0"/>
        <w:ind w:right="-283"/>
        <w:jc w:val="both"/>
        <w:rPr>
          <w:color w:val="FF0000"/>
        </w:rPr>
      </w:pPr>
      <w:r w:rsidRPr="008824A1">
        <w:rPr>
          <w:lang w:val="es-CO"/>
        </w:rPr>
        <w:t xml:space="preserve">En este desarrollo es esencial contar con un sistema de </w:t>
      </w:r>
      <w:r w:rsidR="000B09E0" w:rsidRPr="008824A1">
        <w:t>información completo y funcional que permita conocer con certeza la totalidad de procesos en los que es parte la Nación así como su cuantía y principales causas</w:t>
      </w:r>
      <w:r w:rsidR="008824A1" w:rsidRPr="008824A1">
        <w:t xml:space="preserve">. Por ello se destaca que la Agencia, </w:t>
      </w:r>
      <w:r w:rsidR="000B09E0" w:rsidRPr="008824A1">
        <w:t xml:space="preserve">a lo largo de 2013 ha llevado a cabo acciones tendientes a continuar con el diseño, implementación y sostenibilidad del Sistema Único de Gestión e Información de la Actividad Litigiosa del Estado. </w:t>
      </w:r>
    </w:p>
    <w:p w14:paraId="19A70DB6" w14:textId="77777777" w:rsidR="008D1223" w:rsidRDefault="008D1223" w:rsidP="007871B5">
      <w:pPr>
        <w:tabs>
          <w:tab w:val="left" w:pos="9639"/>
        </w:tabs>
        <w:spacing w:after="0"/>
        <w:ind w:right="-283"/>
        <w:jc w:val="both"/>
      </w:pPr>
    </w:p>
    <w:p w14:paraId="38C5C447" w14:textId="77777777" w:rsidR="000B09E0" w:rsidRDefault="000B09E0" w:rsidP="007871B5">
      <w:pPr>
        <w:tabs>
          <w:tab w:val="left" w:pos="9639"/>
        </w:tabs>
        <w:spacing w:after="0"/>
        <w:ind w:right="-283"/>
        <w:jc w:val="both"/>
      </w:pPr>
      <w:r w:rsidRPr="000B09E0">
        <w:t>Lo anterior a través de una serie de actividades y productos que buscan que el Sistema se constituya en una herramienta efectiva de gestión de casos, acciones y procesos judiciales de forma eficiente y oportuna, tendiente a la generación de conocimiento a través de la producción de información que sirva de insumo a políticas y estrategias en materia litigiosa de la Nación.</w:t>
      </w:r>
    </w:p>
    <w:p w14:paraId="1607A45F" w14:textId="77777777" w:rsidR="000B09E0" w:rsidRDefault="000B09E0" w:rsidP="007871B5">
      <w:pPr>
        <w:spacing w:after="0"/>
        <w:ind w:right="-283"/>
        <w:jc w:val="both"/>
      </w:pPr>
    </w:p>
    <w:p w14:paraId="3E399C6A" w14:textId="77777777" w:rsidR="008824A1" w:rsidRDefault="000B09E0" w:rsidP="007871B5">
      <w:pPr>
        <w:spacing w:after="0"/>
        <w:ind w:right="-283"/>
        <w:jc w:val="both"/>
        <w:rPr>
          <w:lang w:val="es-CO"/>
        </w:rPr>
      </w:pPr>
      <w:r>
        <w:t xml:space="preserve">Por su parte, tanto la Dirección de Defensa Jurídica como la Dirección de Políticas y Estrategias, también </w:t>
      </w:r>
      <w:r w:rsidR="000C7FB3">
        <w:t>han desarrollado</w:t>
      </w:r>
      <w:r w:rsidR="008824A1">
        <w:t xml:space="preserve"> acciones </w:t>
      </w:r>
      <w:r w:rsidR="005479C0">
        <w:rPr>
          <w:lang w:val="es-CO"/>
        </w:rPr>
        <w:t xml:space="preserve">acciones y estrategias, que </w:t>
      </w:r>
      <w:r w:rsidR="008824A1">
        <w:rPr>
          <w:lang w:val="es-CO"/>
        </w:rPr>
        <w:t xml:space="preserve">orientan a la </w:t>
      </w:r>
      <w:r w:rsidR="008824A1" w:rsidRPr="008824A1">
        <w:rPr>
          <w:i/>
          <w:lang w:val="es-CO"/>
        </w:rPr>
        <w:t>Mejora del Ciclo de Defensa</w:t>
      </w:r>
      <w:r w:rsidR="008824A1">
        <w:rPr>
          <w:lang w:val="es-CO"/>
        </w:rPr>
        <w:t>.</w:t>
      </w:r>
    </w:p>
    <w:p w14:paraId="4332686C" w14:textId="77777777" w:rsidR="000B09E0" w:rsidRDefault="000B09E0" w:rsidP="007871B5">
      <w:pPr>
        <w:spacing w:after="0"/>
        <w:ind w:right="-283"/>
        <w:jc w:val="both"/>
      </w:pPr>
    </w:p>
    <w:p w14:paraId="7FDCCFDF" w14:textId="77777777" w:rsidR="00935BFA" w:rsidRDefault="00935BFA" w:rsidP="007871B5">
      <w:pPr>
        <w:spacing w:after="0"/>
        <w:ind w:right="-283"/>
        <w:jc w:val="both"/>
      </w:pPr>
      <w:r>
        <w:t>Estas acciones se reseñan en la</w:t>
      </w:r>
      <w:r w:rsidR="00E932C0">
        <w:t xml:space="preserve">s tablas que se presentan a continuación, </w:t>
      </w:r>
      <w:r w:rsidR="00E932C0" w:rsidRPr="00E932C0">
        <w:t xml:space="preserve">que identifica </w:t>
      </w:r>
      <w:r w:rsidR="00E932C0">
        <w:t xml:space="preserve">en </w:t>
      </w:r>
      <w:r w:rsidR="00E932C0" w:rsidRPr="00E932C0">
        <w:t>cada hito del ciclo de defensa</w:t>
      </w:r>
      <w:r w:rsidR="00E932C0">
        <w:t>,</w:t>
      </w:r>
      <w:r w:rsidR="00E932C0" w:rsidRPr="00E932C0">
        <w:t xml:space="preserve"> las acciones desarrolladas por las tres Direcciones de la Agencia</w:t>
      </w:r>
      <w:r w:rsidR="00E932C0">
        <w:t>.</w:t>
      </w:r>
    </w:p>
    <w:p w14:paraId="551F99A4" w14:textId="77777777" w:rsidR="00FC6A9D" w:rsidRDefault="00FC6A9D" w:rsidP="007871B5">
      <w:pPr>
        <w:spacing w:after="0"/>
        <w:ind w:right="-283"/>
        <w:jc w:val="both"/>
      </w:pPr>
    </w:p>
    <w:p w14:paraId="38561DB1" w14:textId="77777777" w:rsidR="004E113A" w:rsidRDefault="004E113A" w:rsidP="007871B5">
      <w:pPr>
        <w:spacing w:after="0"/>
        <w:ind w:right="-283"/>
        <w:jc w:val="both"/>
      </w:pPr>
    </w:p>
    <w:p w14:paraId="5ABDE578" w14:textId="77777777" w:rsidR="004E113A" w:rsidRDefault="004E113A" w:rsidP="007871B5">
      <w:pPr>
        <w:spacing w:after="0"/>
        <w:ind w:right="-283"/>
        <w:jc w:val="both"/>
      </w:pPr>
    </w:p>
    <w:p w14:paraId="42190216" w14:textId="77777777" w:rsidR="004F12E8" w:rsidRDefault="004F12E8" w:rsidP="007871B5">
      <w:pPr>
        <w:spacing w:after="0"/>
        <w:ind w:right="-283"/>
        <w:jc w:val="both"/>
      </w:pPr>
    </w:p>
    <w:p w14:paraId="5471E97F" w14:textId="77777777" w:rsidR="004E113A" w:rsidRDefault="004E113A" w:rsidP="007871B5">
      <w:pPr>
        <w:spacing w:after="0"/>
        <w:ind w:right="-283"/>
        <w:jc w:val="both"/>
      </w:pPr>
    </w:p>
    <w:p w14:paraId="31178F5E" w14:textId="77777777" w:rsidR="00B41BF4" w:rsidRDefault="00B41BF4" w:rsidP="007871B5">
      <w:pPr>
        <w:spacing w:after="0"/>
        <w:ind w:right="-283"/>
        <w:jc w:val="center"/>
        <w:rPr>
          <w:b/>
        </w:rPr>
      </w:pPr>
      <w:r w:rsidRPr="004E5F7F">
        <w:rPr>
          <w:b/>
        </w:rPr>
        <w:lastRenderedPageBreak/>
        <w:t>Ciclo de Defensa Jurídico</w:t>
      </w:r>
    </w:p>
    <w:p w14:paraId="6FE3E801" w14:textId="77777777" w:rsidR="00E932C0" w:rsidRDefault="00E932C0" w:rsidP="000C7FB3">
      <w:pPr>
        <w:spacing w:after="0"/>
        <w:jc w:val="center"/>
        <w:rPr>
          <w:b/>
        </w:rPr>
      </w:pPr>
    </w:p>
    <w:p w14:paraId="15486CEC" w14:textId="77777777" w:rsidR="00B41BF4" w:rsidRPr="004E5F7F" w:rsidRDefault="00B41BF4" w:rsidP="000C7FB3">
      <w:pPr>
        <w:spacing w:after="0"/>
        <w:jc w:val="center"/>
      </w:pPr>
      <w:r w:rsidRPr="004E5F7F">
        <w:rPr>
          <w:noProof/>
          <w:lang w:val="es-CO" w:eastAsia="es-CO"/>
        </w:rPr>
        <w:drawing>
          <wp:inline distT="0" distB="0" distL="0" distR="0" wp14:anchorId="43F816C2" wp14:editId="1F8DF02A">
            <wp:extent cx="3682365" cy="29241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7008" cy="2951685"/>
                    </a:xfrm>
                    <a:prstGeom prst="rect">
                      <a:avLst/>
                    </a:prstGeom>
                    <a:noFill/>
                    <a:ln>
                      <a:noFill/>
                    </a:ln>
                  </pic:spPr>
                </pic:pic>
              </a:graphicData>
            </a:graphic>
          </wp:inline>
        </w:drawing>
      </w:r>
    </w:p>
    <w:p w14:paraId="16874545" w14:textId="77777777" w:rsidR="004F12E8" w:rsidRDefault="004F12E8" w:rsidP="00FF7374">
      <w:pPr>
        <w:spacing w:after="0"/>
        <w:ind w:right="-283"/>
        <w:jc w:val="center"/>
        <w:rPr>
          <w:b/>
          <w:sz w:val="22"/>
          <w:szCs w:val="22"/>
        </w:rPr>
      </w:pPr>
    </w:p>
    <w:p w14:paraId="5E792FFF" w14:textId="77777777" w:rsidR="004F12E8" w:rsidRDefault="004F12E8" w:rsidP="00FF7374">
      <w:pPr>
        <w:spacing w:after="0"/>
        <w:ind w:right="-283"/>
        <w:jc w:val="center"/>
        <w:rPr>
          <w:b/>
          <w:sz w:val="22"/>
          <w:szCs w:val="22"/>
        </w:rPr>
      </w:pPr>
    </w:p>
    <w:p w14:paraId="6A3331DC" w14:textId="77777777" w:rsidR="001374E6" w:rsidRPr="00E46994" w:rsidRDefault="00A61665" w:rsidP="00FF7374">
      <w:pPr>
        <w:spacing w:after="0"/>
        <w:ind w:right="-283"/>
        <w:jc w:val="center"/>
        <w:rPr>
          <w:b/>
          <w:sz w:val="22"/>
          <w:szCs w:val="22"/>
        </w:rPr>
      </w:pPr>
      <w:r w:rsidRPr="00E46994">
        <w:rPr>
          <w:b/>
          <w:sz w:val="22"/>
          <w:szCs w:val="22"/>
        </w:rPr>
        <w:t xml:space="preserve">Tabla </w:t>
      </w:r>
      <w:r w:rsidR="007E129E" w:rsidRPr="00E46994">
        <w:rPr>
          <w:b/>
          <w:sz w:val="22"/>
          <w:szCs w:val="22"/>
        </w:rPr>
        <w:t>1</w:t>
      </w:r>
      <w:r w:rsidR="00A33517">
        <w:rPr>
          <w:b/>
          <w:sz w:val="22"/>
          <w:szCs w:val="22"/>
        </w:rPr>
        <w:t>5</w:t>
      </w:r>
      <w:r w:rsidRPr="00E46994">
        <w:rPr>
          <w:b/>
          <w:sz w:val="22"/>
          <w:szCs w:val="22"/>
        </w:rPr>
        <w:t>: Sistema único de Información Litigiosa del Estado</w:t>
      </w:r>
    </w:p>
    <w:p w14:paraId="490CB829" w14:textId="77777777" w:rsidR="00B41BF4" w:rsidRPr="00E46994" w:rsidRDefault="00B41BF4" w:rsidP="000C7FB3">
      <w:pPr>
        <w:spacing w:after="0"/>
        <w:jc w:val="both"/>
        <w:rPr>
          <w:b/>
        </w:rPr>
      </w:pPr>
    </w:p>
    <w:tbl>
      <w:tblPr>
        <w:tblStyle w:val="Tablaconcuadrcula"/>
        <w:tblW w:w="9072" w:type="dxa"/>
        <w:tblInd w:w="-5" w:type="dxa"/>
        <w:tblLayout w:type="fixed"/>
        <w:tblLook w:val="04A0" w:firstRow="1" w:lastRow="0" w:firstColumn="1" w:lastColumn="0" w:noHBand="0" w:noVBand="1"/>
      </w:tblPr>
      <w:tblGrid>
        <w:gridCol w:w="2523"/>
        <w:gridCol w:w="6549"/>
      </w:tblGrid>
      <w:tr w:rsidR="00B41BF4" w:rsidRPr="004E5F7F" w14:paraId="5C9950C3" w14:textId="77777777" w:rsidTr="00FC5DAD">
        <w:trPr>
          <w:trHeight w:val="1702"/>
        </w:trPr>
        <w:tc>
          <w:tcPr>
            <w:tcW w:w="2523" w:type="dxa"/>
          </w:tcPr>
          <w:p w14:paraId="0801E4AD" w14:textId="77777777" w:rsidR="00B41BF4" w:rsidRPr="009B3F8D" w:rsidRDefault="007B5921" w:rsidP="00FF7374">
            <w:pPr>
              <w:jc w:val="both"/>
              <w:rPr>
                <w:b/>
              </w:rPr>
            </w:pPr>
            <w:r w:rsidRPr="00E46994">
              <w:rPr>
                <w:b/>
                <w:color w:val="FF0000"/>
                <w:sz w:val="24"/>
                <w:szCs w:val="24"/>
                <w:highlight w:val="cyan"/>
              </w:rPr>
              <w:object w:dxaOrig="3060" w:dyaOrig="2880" w14:anchorId="0CB85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5pt;height:105.3pt" o:ole="">
                  <v:imagedata r:id="rId23" o:title=""/>
                </v:shape>
                <o:OLEObject Type="Embed" ProgID="PBrush" ShapeID="_x0000_i1025" DrawAspect="Content" ObjectID="_1447656243" r:id="rId24"/>
              </w:object>
            </w:r>
          </w:p>
        </w:tc>
        <w:tc>
          <w:tcPr>
            <w:tcW w:w="6549" w:type="dxa"/>
            <w:shd w:val="clear" w:color="auto" w:fill="F2F2F2" w:themeFill="background1" w:themeFillShade="F2"/>
          </w:tcPr>
          <w:p w14:paraId="4BAE63EA" w14:textId="77777777" w:rsidR="00B41BF4" w:rsidRPr="009B3F8D" w:rsidRDefault="00B41BF4" w:rsidP="00FF7374">
            <w:pPr>
              <w:jc w:val="both"/>
              <w:rPr>
                <w:b/>
                <w:sz w:val="20"/>
              </w:rPr>
            </w:pPr>
            <w:r w:rsidRPr="009B3F8D">
              <w:rPr>
                <w:b/>
                <w:sz w:val="20"/>
              </w:rPr>
              <w:t>Objetivo:</w:t>
            </w:r>
          </w:p>
          <w:p w14:paraId="7C3BE225" w14:textId="77777777" w:rsidR="006028A4" w:rsidRDefault="006028A4" w:rsidP="00FF7374">
            <w:pPr>
              <w:jc w:val="both"/>
              <w:rPr>
                <w:sz w:val="20"/>
                <w:lang w:val="es-ES"/>
              </w:rPr>
            </w:pPr>
          </w:p>
          <w:p w14:paraId="205F92FD" w14:textId="77777777" w:rsidR="00B41BF4" w:rsidRPr="009B3F8D" w:rsidRDefault="00B41BF4" w:rsidP="00FF7374">
            <w:pPr>
              <w:jc w:val="both"/>
              <w:rPr>
                <w:b/>
                <w:sz w:val="20"/>
                <w:lang w:val="es-CO"/>
              </w:rPr>
            </w:pPr>
            <w:r w:rsidRPr="009B3F8D">
              <w:rPr>
                <w:sz w:val="20"/>
                <w:lang w:val="es-ES"/>
              </w:rPr>
              <w:t xml:space="preserve">El </w:t>
            </w:r>
            <w:r w:rsidRPr="009B3F8D">
              <w:rPr>
                <w:b/>
                <w:sz w:val="20"/>
                <w:lang w:val="es-ES"/>
              </w:rPr>
              <w:t>Sistema Único de Gestión e Información de la Actividad Litigiosa</w:t>
            </w:r>
            <w:r w:rsidRPr="009B3F8D">
              <w:rPr>
                <w:sz w:val="20"/>
                <w:lang w:val="es-ES"/>
              </w:rPr>
              <w:t xml:space="preserve"> del Estado, es una de herramienta para la adecuada gestión del riesgo fiscal asociado a la actividad judicial y extrajudicial de la Nación, así como para monitorear y atender los procesos que se deriven de aquella en los que se encuentran involucradas entidades públicas del orden nacional y entidades privadas que administren recursos públicos, de una forma eficaz, eficiente y oportuna</w:t>
            </w:r>
            <w:r w:rsidRPr="009B3F8D">
              <w:rPr>
                <w:b/>
                <w:sz w:val="20"/>
                <w:lang w:val="es-ES"/>
              </w:rPr>
              <w:t xml:space="preserve">. </w:t>
            </w:r>
          </w:p>
          <w:p w14:paraId="0D96BCF8" w14:textId="77777777" w:rsidR="00B41BF4" w:rsidRPr="009B3F8D" w:rsidRDefault="00B41BF4" w:rsidP="00FF7374">
            <w:pPr>
              <w:jc w:val="both"/>
              <w:rPr>
                <w:b/>
                <w:sz w:val="20"/>
                <w:lang w:val="es-CO"/>
              </w:rPr>
            </w:pPr>
          </w:p>
          <w:p w14:paraId="6ADC2D63" w14:textId="77777777" w:rsidR="00B41BF4" w:rsidRPr="009B3F8D" w:rsidRDefault="00B41BF4" w:rsidP="00FF7374">
            <w:pPr>
              <w:ind w:right="-283"/>
              <w:jc w:val="both"/>
              <w:rPr>
                <w:sz w:val="20"/>
                <w:lang w:val="es-CO"/>
              </w:rPr>
            </w:pPr>
            <w:r w:rsidRPr="009B3F8D">
              <w:rPr>
                <w:sz w:val="20"/>
                <w:lang w:val="es-ES"/>
              </w:rPr>
              <w:t xml:space="preserve">Su </w:t>
            </w:r>
            <w:r w:rsidRPr="009B3F8D">
              <w:rPr>
                <w:b/>
                <w:sz w:val="20"/>
                <w:lang w:val="es-ES"/>
              </w:rPr>
              <w:t>objetivo</w:t>
            </w:r>
            <w:r w:rsidRPr="009B3F8D">
              <w:rPr>
                <w:sz w:val="20"/>
                <w:lang w:val="es-ES"/>
              </w:rPr>
              <w:t xml:space="preserve">, es brindar mecanismos focalizados a la generación de conocimiento, suministrar información que permita formular </w:t>
            </w:r>
            <w:r w:rsidRPr="009B3F8D">
              <w:rPr>
                <w:b/>
                <w:sz w:val="20"/>
                <w:lang w:val="es-ES"/>
              </w:rPr>
              <w:t>políticas de prevención del daño antijurídico</w:t>
            </w:r>
            <w:r w:rsidRPr="009B3F8D">
              <w:rPr>
                <w:sz w:val="20"/>
                <w:lang w:val="es-ES"/>
              </w:rPr>
              <w:t xml:space="preserve">, generar </w:t>
            </w:r>
            <w:r w:rsidRPr="009B3F8D">
              <w:rPr>
                <w:b/>
                <w:sz w:val="20"/>
                <w:lang w:val="es-ES"/>
              </w:rPr>
              <w:t>estrategias de defensa jurídica</w:t>
            </w:r>
            <w:r w:rsidRPr="009B3F8D">
              <w:rPr>
                <w:sz w:val="20"/>
                <w:lang w:val="es-ES"/>
              </w:rPr>
              <w:t xml:space="preserve"> y diseñar políticas para la optimización de los recursos requeridos para la gestión del ciclo de defensa jurídica, así como para realizar una adecuada </w:t>
            </w:r>
            <w:r w:rsidRPr="009B3F8D">
              <w:rPr>
                <w:b/>
                <w:sz w:val="20"/>
                <w:lang w:val="es-ES"/>
              </w:rPr>
              <w:t>gestión del riesgo fiscal</w:t>
            </w:r>
            <w:r w:rsidRPr="009B3F8D">
              <w:rPr>
                <w:sz w:val="20"/>
                <w:lang w:val="es-ES"/>
              </w:rPr>
              <w:t>.</w:t>
            </w:r>
          </w:p>
          <w:p w14:paraId="1BC6311E" w14:textId="77777777" w:rsidR="00B41BF4" w:rsidRPr="009B3F8D" w:rsidRDefault="00B41BF4" w:rsidP="00FF7374">
            <w:pPr>
              <w:jc w:val="both"/>
              <w:rPr>
                <w:b/>
                <w:sz w:val="20"/>
              </w:rPr>
            </w:pPr>
          </w:p>
          <w:p w14:paraId="1D571302" w14:textId="77777777" w:rsidR="00B41BF4" w:rsidRDefault="00B41BF4" w:rsidP="00FF7374">
            <w:pPr>
              <w:jc w:val="both"/>
              <w:rPr>
                <w:b/>
                <w:sz w:val="20"/>
              </w:rPr>
            </w:pPr>
            <w:r w:rsidRPr="009B3F8D">
              <w:rPr>
                <w:b/>
                <w:sz w:val="20"/>
              </w:rPr>
              <w:t>Impacto:</w:t>
            </w:r>
          </w:p>
          <w:p w14:paraId="3080F5AA" w14:textId="77777777" w:rsidR="00B41BF4" w:rsidRPr="006028A4" w:rsidRDefault="00B41BF4" w:rsidP="003445A7">
            <w:pPr>
              <w:pStyle w:val="Prrafodelista"/>
              <w:numPr>
                <w:ilvl w:val="0"/>
                <w:numId w:val="9"/>
              </w:numPr>
              <w:ind w:left="0"/>
              <w:jc w:val="both"/>
              <w:rPr>
                <w:sz w:val="20"/>
              </w:rPr>
            </w:pPr>
            <w:r w:rsidRPr="006028A4">
              <w:rPr>
                <w:sz w:val="20"/>
              </w:rPr>
              <w:t>Mejora en la Gestión del Ciclo de Defensa Jurídica</w:t>
            </w:r>
          </w:p>
          <w:p w14:paraId="5E5D4E9A" w14:textId="77777777" w:rsidR="00B41BF4" w:rsidRPr="006028A4" w:rsidRDefault="00B41BF4" w:rsidP="003445A7">
            <w:pPr>
              <w:pStyle w:val="Prrafodelista"/>
              <w:numPr>
                <w:ilvl w:val="0"/>
                <w:numId w:val="9"/>
              </w:numPr>
              <w:ind w:left="0"/>
              <w:jc w:val="both"/>
              <w:rPr>
                <w:sz w:val="20"/>
              </w:rPr>
            </w:pPr>
            <w:r w:rsidRPr="006028A4">
              <w:rPr>
                <w:sz w:val="20"/>
              </w:rPr>
              <w:t>Fortalecimiento de la gestión de la información estratégica y del conocimiento</w:t>
            </w:r>
          </w:p>
          <w:p w14:paraId="3C9D4D9A" w14:textId="77777777" w:rsidR="00B41BF4" w:rsidRDefault="00B41BF4" w:rsidP="00FF7374">
            <w:pPr>
              <w:jc w:val="both"/>
              <w:rPr>
                <w:b/>
                <w:sz w:val="20"/>
              </w:rPr>
            </w:pPr>
          </w:p>
          <w:p w14:paraId="79B6D6BF" w14:textId="77777777" w:rsidR="006028A4" w:rsidRDefault="00B41BF4" w:rsidP="00FF7374">
            <w:pPr>
              <w:jc w:val="both"/>
              <w:rPr>
                <w:b/>
                <w:sz w:val="20"/>
              </w:rPr>
            </w:pPr>
            <w:r>
              <w:rPr>
                <w:b/>
                <w:sz w:val="20"/>
              </w:rPr>
              <w:t>Metas</w:t>
            </w:r>
            <w:r w:rsidR="006028A4">
              <w:rPr>
                <w:b/>
                <w:sz w:val="20"/>
              </w:rPr>
              <w:t xml:space="preserve"> </w:t>
            </w:r>
            <w:r>
              <w:rPr>
                <w:b/>
                <w:sz w:val="20"/>
              </w:rPr>
              <w:t>2017:</w:t>
            </w:r>
          </w:p>
          <w:p w14:paraId="76595A5D" w14:textId="77777777" w:rsidR="00B41BF4" w:rsidRPr="006028A4" w:rsidRDefault="00B41BF4" w:rsidP="003445A7">
            <w:pPr>
              <w:pStyle w:val="Prrafodelista"/>
              <w:numPr>
                <w:ilvl w:val="0"/>
                <w:numId w:val="10"/>
              </w:numPr>
              <w:ind w:left="0"/>
              <w:jc w:val="both"/>
            </w:pPr>
            <w:r w:rsidRPr="006028A4">
              <w:rPr>
                <w:sz w:val="20"/>
              </w:rPr>
              <w:lastRenderedPageBreak/>
              <w:t>100% de las Entidades del Orden Nacional utilizando el Sistema Único de Gestión e Información Litigiosa</w:t>
            </w:r>
          </w:p>
          <w:p w14:paraId="5CECA116" w14:textId="77777777" w:rsidR="00B41BF4" w:rsidRPr="006028A4" w:rsidRDefault="00B41BF4" w:rsidP="003445A7">
            <w:pPr>
              <w:pStyle w:val="Prrafodelista"/>
              <w:numPr>
                <w:ilvl w:val="0"/>
                <w:numId w:val="10"/>
              </w:numPr>
              <w:ind w:left="0"/>
              <w:jc w:val="both"/>
            </w:pPr>
            <w:r w:rsidRPr="006028A4">
              <w:rPr>
                <w:sz w:val="20"/>
              </w:rPr>
              <w:t>90% de las Entidades del Orden Nacional registrando el tiempo trascurrido para el pago de sentencias y conciliaciones</w:t>
            </w:r>
          </w:p>
          <w:p w14:paraId="7CECBA35" w14:textId="77777777" w:rsidR="007E129E" w:rsidRPr="00E46994" w:rsidRDefault="00B41BF4" w:rsidP="003445A7">
            <w:pPr>
              <w:pStyle w:val="Prrafodelista"/>
              <w:numPr>
                <w:ilvl w:val="0"/>
                <w:numId w:val="10"/>
              </w:numPr>
              <w:ind w:left="0"/>
              <w:jc w:val="both"/>
              <w:rPr>
                <w:b/>
              </w:rPr>
            </w:pPr>
            <w:r w:rsidRPr="006028A4">
              <w:rPr>
                <w:sz w:val="20"/>
              </w:rPr>
              <w:t>90%   de las Entidades del Orden Nacional con herramientas para calcular los riesgos fiscales</w:t>
            </w:r>
          </w:p>
          <w:p w14:paraId="20B06EB4" w14:textId="77777777" w:rsidR="007E129E" w:rsidRDefault="007E129E" w:rsidP="00E46994">
            <w:pPr>
              <w:jc w:val="both"/>
              <w:rPr>
                <w:sz w:val="20"/>
              </w:rPr>
            </w:pPr>
          </w:p>
          <w:p w14:paraId="2B93B527" w14:textId="77777777" w:rsidR="00B41BF4" w:rsidRPr="00E46994" w:rsidRDefault="00FF7374" w:rsidP="00E46994">
            <w:pPr>
              <w:jc w:val="both"/>
              <w:rPr>
                <w:b/>
              </w:rPr>
            </w:pPr>
            <w:r w:rsidRPr="00E46994">
              <w:rPr>
                <w:sz w:val="20"/>
              </w:rPr>
              <w:t xml:space="preserve"> </w:t>
            </w:r>
          </w:p>
        </w:tc>
      </w:tr>
      <w:tr w:rsidR="00B41BF4" w:rsidRPr="004E5F7F" w14:paraId="0A8DCC1E" w14:textId="77777777" w:rsidTr="00E46994">
        <w:tc>
          <w:tcPr>
            <w:tcW w:w="2523" w:type="dxa"/>
            <w:shd w:val="clear" w:color="auto" w:fill="95B3D7" w:themeFill="accent1" w:themeFillTint="99"/>
          </w:tcPr>
          <w:p w14:paraId="00BC4081" w14:textId="77777777" w:rsidR="00B41BF4" w:rsidRPr="00E46994" w:rsidRDefault="00B41BF4" w:rsidP="00FF7374">
            <w:pPr>
              <w:jc w:val="center"/>
              <w:rPr>
                <w:b/>
                <w:highlight w:val="cyan"/>
              </w:rPr>
            </w:pPr>
          </w:p>
          <w:p w14:paraId="51034B69" w14:textId="77777777" w:rsidR="00B41BF4" w:rsidRPr="00E46994" w:rsidRDefault="00B41BF4" w:rsidP="00FF7374">
            <w:pPr>
              <w:jc w:val="center"/>
              <w:rPr>
                <w:b/>
                <w:highlight w:val="cyan"/>
              </w:rPr>
            </w:pPr>
          </w:p>
          <w:p w14:paraId="0670DDFB" w14:textId="77777777" w:rsidR="00FC5DAD" w:rsidRDefault="00FC5DAD" w:rsidP="00FF7374">
            <w:pPr>
              <w:jc w:val="center"/>
              <w:rPr>
                <w:b/>
              </w:rPr>
            </w:pPr>
          </w:p>
          <w:p w14:paraId="3300952A" w14:textId="77777777" w:rsidR="00FC5DAD" w:rsidRDefault="00FC5DAD" w:rsidP="00FF7374">
            <w:pPr>
              <w:jc w:val="center"/>
              <w:rPr>
                <w:b/>
              </w:rPr>
            </w:pPr>
          </w:p>
          <w:p w14:paraId="386741D4" w14:textId="77777777" w:rsidR="00FC5DAD" w:rsidRDefault="00FC5DAD" w:rsidP="00FF7374">
            <w:pPr>
              <w:jc w:val="center"/>
              <w:rPr>
                <w:b/>
              </w:rPr>
            </w:pPr>
          </w:p>
          <w:p w14:paraId="6C552620" w14:textId="77777777" w:rsidR="00FC5DAD" w:rsidRDefault="00FC5DAD" w:rsidP="00FF7374">
            <w:pPr>
              <w:jc w:val="center"/>
              <w:rPr>
                <w:b/>
              </w:rPr>
            </w:pPr>
          </w:p>
          <w:p w14:paraId="19A477BD" w14:textId="77777777" w:rsidR="00FC5DAD" w:rsidRDefault="00FC5DAD" w:rsidP="00FF7374">
            <w:pPr>
              <w:jc w:val="center"/>
              <w:rPr>
                <w:b/>
              </w:rPr>
            </w:pPr>
          </w:p>
          <w:p w14:paraId="55924688" w14:textId="77777777" w:rsidR="00B41BF4" w:rsidRPr="00E46994" w:rsidRDefault="00B41BF4" w:rsidP="00FC5DAD">
            <w:pPr>
              <w:jc w:val="center"/>
              <w:rPr>
                <w:color w:val="FF0000"/>
                <w:highlight w:val="cyan"/>
              </w:rPr>
            </w:pPr>
            <w:r w:rsidRPr="00E46994">
              <w:rPr>
                <w:b/>
              </w:rPr>
              <w:t>DIRECCION DE GESTIÓN DE INFORMACIÓN</w:t>
            </w:r>
          </w:p>
        </w:tc>
        <w:tc>
          <w:tcPr>
            <w:tcW w:w="6549" w:type="dxa"/>
          </w:tcPr>
          <w:p w14:paraId="67A8A413" w14:textId="77777777" w:rsidR="007E129E" w:rsidRDefault="007E129E" w:rsidP="00E46994">
            <w:pPr>
              <w:ind w:left="360"/>
              <w:jc w:val="both"/>
              <w:rPr>
                <w:b/>
                <w:sz w:val="20"/>
              </w:rPr>
            </w:pPr>
          </w:p>
          <w:p w14:paraId="4BAB507B" w14:textId="77777777" w:rsidR="00B41BF4" w:rsidRPr="00E46994" w:rsidRDefault="00B41BF4" w:rsidP="00E46994">
            <w:pPr>
              <w:ind w:left="360"/>
              <w:jc w:val="both"/>
              <w:rPr>
                <w:sz w:val="20"/>
              </w:rPr>
            </w:pPr>
            <w:r w:rsidRPr="00E46994">
              <w:rPr>
                <w:b/>
                <w:sz w:val="20"/>
              </w:rPr>
              <w:t xml:space="preserve">Acción: </w:t>
            </w:r>
            <w:r w:rsidRPr="00E46994">
              <w:rPr>
                <w:b/>
                <w:i/>
                <w:sz w:val="20"/>
              </w:rPr>
              <w:t>Elaboración de la encuesta de evaluación de gestión del ciclo de defensa jurídica</w:t>
            </w:r>
            <w:r w:rsidRPr="00E46994">
              <w:rPr>
                <w:b/>
                <w:sz w:val="20"/>
              </w:rPr>
              <w:t xml:space="preserve">. Objetivo: </w:t>
            </w:r>
            <w:r w:rsidRPr="00E46994">
              <w:rPr>
                <w:sz w:val="20"/>
              </w:rPr>
              <w:t xml:space="preserve">La encuesta elaborada por la DGI busca identificar el grado de madurez y necesidades en relación con la captura, custodia y gestión de información de la actividad litigiosa en las Entidades Públicas. </w:t>
            </w:r>
            <w:r w:rsidRPr="00E46994">
              <w:rPr>
                <w:b/>
                <w:sz w:val="20"/>
              </w:rPr>
              <w:t xml:space="preserve">Impacto: </w:t>
            </w:r>
            <w:r w:rsidRPr="00E46994">
              <w:rPr>
                <w:sz w:val="20"/>
              </w:rPr>
              <w:t>Mejorar</w:t>
            </w:r>
            <w:r w:rsidRPr="00E46994">
              <w:rPr>
                <w:b/>
                <w:sz w:val="20"/>
              </w:rPr>
              <w:t xml:space="preserve"> </w:t>
            </w:r>
            <w:r w:rsidRPr="00E46994">
              <w:rPr>
                <w:sz w:val="20"/>
              </w:rPr>
              <w:t>la defensa jurídica en las entidades del orden nacional a través de un sistema de gestión e información que les permita detectar adecuadamente riesgos fiscales y llevar el control de sus procesos judiciales.</w:t>
            </w:r>
          </w:p>
          <w:p w14:paraId="063B67E3" w14:textId="77777777" w:rsidR="00B41BF4" w:rsidRPr="009B3F8D" w:rsidRDefault="00B41BF4" w:rsidP="00FF7374">
            <w:pPr>
              <w:pStyle w:val="Prrafodelista"/>
              <w:ind w:left="0"/>
              <w:jc w:val="both"/>
              <w:rPr>
                <w:sz w:val="20"/>
              </w:rPr>
            </w:pPr>
          </w:p>
          <w:p w14:paraId="300D23D7" w14:textId="77777777" w:rsidR="00B41BF4" w:rsidRDefault="00B41BF4" w:rsidP="003445A7">
            <w:pPr>
              <w:pStyle w:val="Prrafodelista"/>
              <w:numPr>
                <w:ilvl w:val="0"/>
                <w:numId w:val="11"/>
              </w:numPr>
              <w:ind w:left="0"/>
              <w:jc w:val="both"/>
              <w:rPr>
                <w:sz w:val="20"/>
              </w:rPr>
            </w:pPr>
            <w:r w:rsidRPr="009B3F8D">
              <w:rPr>
                <w:b/>
                <w:sz w:val="20"/>
              </w:rPr>
              <w:t xml:space="preserve">Acción: </w:t>
            </w:r>
            <w:r w:rsidRPr="00A23109">
              <w:rPr>
                <w:b/>
                <w:i/>
                <w:sz w:val="20"/>
              </w:rPr>
              <w:t>Avance en la elaboración de los documentos metodológicos e inicio de depuración de la base de datos de procesos judiciales donde es parte una entidad del orden nacional.</w:t>
            </w:r>
            <w:r w:rsidRPr="00A23109">
              <w:rPr>
                <w:b/>
                <w:sz w:val="20"/>
              </w:rPr>
              <w:t xml:space="preserve"> </w:t>
            </w:r>
            <w:r w:rsidRPr="009B3F8D">
              <w:rPr>
                <w:b/>
                <w:sz w:val="20"/>
              </w:rPr>
              <w:t xml:space="preserve">Objetivo: </w:t>
            </w:r>
            <w:r w:rsidRPr="009B3F8D">
              <w:rPr>
                <w:sz w:val="20"/>
              </w:rPr>
              <w:t xml:space="preserve">La DGI ha avanzado en la elaboración de los documentos metodológicos y el inicio de depuración de la base de datos de procesos judiciales donde es parte una entidad del orden nacional, con el objetivo de contar con información de la actividad litigiosa que cumpla con estándares de calidad e integridad en el  Sistema Único de Gestión e Información Litigiosa del Estado. </w:t>
            </w:r>
            <w:r w:rsidRPr="009B3F8D">
              <w:rPr>
                <w:b/>
                <w:sz w:val="20"/>
              </w:rPr>
              <w:t xml:space="preserve">Impacto: </w:t>
            </w:r>
            <w:r w:rsidRPr="009B3F8D">
              <w:rPr>
                <w:sz w:val="20"/>
              </w:rPr>
              <w:t>Diseñar estrategias de defensa jurídica oportunas y políticas de prevención del daño antijurídico fundamentadas en datos reales e indicadores de riesgo fiscal.</w:t>
            </w:r>
          </w:p>
          <w:p w14:paraId="0324C7AD" w14:textId="77777777" w:rsidR="00B41BF4" w:rsidRPr="00A23109" w:rsidRDefault="00B41BF4" w:rsidP="00FF7374">
            <w:pPr>
              <w:jc w:val="both"/>
              <w:rPr>
                <w:sz w:val="20"/>
              </w:rPr>
            </w:pPr>
          </w:p>
          <w:p w14:paraId="350CDFC9" w14:textId="77777777" w:rsidR="00B41BF4" w:rsidRPr="006028A4" w:rsidRDefault="00B41BF4" w:rsidP="003445A7">
            <w:pPr>
              <w:pStyle w:val="Prrafodelista"/>
              <w:numPr>
                <w:ilvl w:val="0"/>
                <w:numId w:val="12"/>
              </w:numPr>
              <w:ind w:left="0"/>
              <w:jc w:val="both"/>
              <w:rPr>
                <w:sz w:val="20"/>
              </w:rPr>
            </w:pPr>
            <w:r w:rsidRPr="006028A4">
              <w:rPr>
                <w:b/>
                <w:sz w:val="20"/>
              </w:rPr>
              <w:t xml:space="preserve">Acción: </w:t>
            </w:r>
            <w:r w:rsidRPr="006028A4">
              <w:rPr>
                <w:b/>
                <w:i/>
                <w:sz w:val="20"/>
              </w:rPr>
              <w:t>Informe de consistencia de datos de procesos judiciales contenidos en el Sistema</w:t>
            </w:r>
            <w:r w:rsidRPr="006028A4">
              <w:rPr>
                <w:sz w:val="20"/>
              </w:rPr>
              <w:t>.</w:t>
            </w:r>
            <w:r w:rsidRPr="006028A4">
              <w:rPr>
                <w:b/>
                <w:sz w:val="20"/>
              </w:rPr>
              <w:t xml:space="preserve"> Objetivo: </w:t>
            </w:r>
            <w:r w:rsidRPr="006028A4">
              <w:rPr>
                <w:sz w:val="20"/>
              </w:rPr>
              <w:t xml:space="preserve">La DGI elabora un informe de consistencia de datos de procesos judiciales contenidos en el Sistema, para identificar inconsistencias en los datos reportados en el Sistema para que de la mano de las entidades del orden nacional, se proceda a corregir y completar la información faltante. </w:t>
            </w:r>
            <w:r w:rsidRPr="006028A4">
              <w:rPr>
                <w:b/>
                <w:sz w:val="20"/>
              </w:rPr>
              <w:t xml:space="preserve">Impacto: </w:t>
            </w:r>
            <w:r w:rsidRPr="006028A4">
              <w:rPr>
                <w:sz w:val="20"/>
              </w:rPr>
              <w:t>Contar con información veraz y completa de la actividad litigiosa que permita diseñar estrategias de defensa jurídica oportunas y políticas de prevención del daño antijurídico fundamentadas en datos reales e indicadores de riesgo fiscal.</w:t>
            </w:r>
          </w:p>
          <w:p w14:paraId="49F1F4BE" w14:textId="77777777" w:rsidR="00B41BF4" w:rsidRPr="00A23109" w:rsidRDefault="00B41BF4" w:rsidP="00FF7374">
            <w:pPr>
              <w:jc w:val="both"/>
              <w:rPr>
                <w:sz w:val="20"/>
              </w:rPr>
            </w:pPr>
          </w:p>
          <w:p w14:paraId="6246FBE2" w14:textId="77777777" w:rsidR="00B41BF4" w:rsidRDefault="00B41BF4" w:rsidP="003445A7">
            <w:pPr>
              <w:pStyle w:val="Prrafodelista"/>
              <w:numPr>
                <w:ilvl w:val="0"/>
                <w:numId w:val="12"/>
              </w:numPr>
              <w:ind w:left="0"/>
              <w:jc w:val="both"/>
              <w:rPr>
                <w:sz w:val="20"/>
              </w:rPr>
            </w:pPr>
            <w:r w:rsidRPr="009B3F8D">
              <w:rPr>
                <w:b/>
                <w:sz w:val="20"/>
              </w:rPr>
              <w:t xml:space="preserve">Acción: </w:t>
            </w:r>
            <w:r w:rsidRPr="00A23109">
              <w:rPr>
                <w:b/>
                <w:i/>
                <w:sz w:val="20"/>
              </w:rPr>
              <w:t>Incorporar las solicitudes de conciliación y las demandas comunicadas a la Agencia y  radicarlas en el Sistema.</w:t>
            </w:r>
            <w:r w:rsidRPr="009B3F8D">
              <w:rPr>
                <w:b/>
                <w:sz w:val="20"/>
              </w:rPr>
              <w:t xml:space="preserve"> Objetivo: </w:t>
            </w:r>
            <w:r w:rsidRPr="009B3F8D">
              <w:rPr>
                <w:sz w:val="20"/>
              </w:rPr>
              <w:t xml:space="preserve">La DGI ingresa al Sistema las solicitudes de conciliación y las demandas comunicadas a la Agencia, con el ánimo de incorporar todas las convocatorias de conciliación y las demandas donde es parte una entidad del orden nacional para conocer tanto el número de demandas a cargo de las entidades como el valor de sus pretensiones. </w:t>
            </w:r>
            <w:r w:rsidRPr="009B3F8D">
              <w:rPr>
                <w:b/>
                <w:sz w:val="20"/>
              </w:rPr>
              <w:t xml:space="preserve">Impacto: </w:t>
            </w:r>
            <w:r w:rsidRPr="009B3F8D">
              <w:rPr>
                <w:sz w:val="20"/>
              </w:rPr>
              <w:t xml:space="preserve">Generar alertas tempranas para el diseño oportuno de: 1. Políticas de prevención del daño </w:t>
            </w:r>
            <w:r w:rsidRPr="009B3F8D">
              <w:rPr>
                <w:sz w:val="20"/>
              </w:rPr>
              <w:lastRenderedPageBreak/>
              <w:t>antijurídico, 2. Definición de estrategias de defensa, 3. Promoción de Mecanismos Alternos de Solución de Conflictos (MASC).</w:t>
            </w:r>
          </w:p>
          <w:p w14:paraId="5839E54A" w14:textId="77777777" w:rsidR="00B41BF4" w:rsidRPr="00A23109" w:rsidRDefault="00B41BF4" w:rsidP="00FF7374">
            <w:pPr>
              <w:jc w:val="both"/>
              <w:rPr>
                <w:sz w:val="20"/>
              </w:rPr>
            </w:pPr>
          </w:p>
          <w:p w14:paraId="401E4011" w14:textId="77777777" w:rsidR="00B41BF4" w:rsidRDefault="00B41BF4" w:rsidP="003445A7">
            <w:pPr>
              <w:pStyle w:val="Prrafodelista"/>
              <w:numPr>
                <w:ilvl w:val="0"/>
                <w:numId w:val="12"/>
              </w:numPr>
              <w:ind w:left="0"/>
              <w:jc w:val="both"/>
              <w:rPr>
                <w:sz w:val="20"/>
              </w:rPr>
            </w:pPr>
            <w:r w:rsidRPr="009B3F8D">
              <w:rPr>
                <w:b/>
                <w:sz w:val="20"/>
              </w:rPr>
              <w:t xml:space="preserve">Acción: </w:t>
            </w:r>
            <w:r w:rsidRPr="00A23109">
              <w:rPr>
                <w:b/>
                <w:i/>
                <w:sz w:val="20"/>
              </w:rPr>
              <w:t>Diseño de herramienta web para la recepción digital de las convocatorias de conciliación allegadas a la Agencia, así como de las notificaciones de las demandas.</w:t>
            </w:r>
            <w:r w:rsidRPr="009B3F8D">
              <w:rPr>
                <w:b/>
                <w:sz w:val="20"/>
              </w:rPr>
              <w:t xml:space="preserve"> Objetivo: </w:t>
            </w:r>
            <w:r w:rsidRPr="009B3F8D">
              <w:rPr>
                <w:sz w:val="20"/>
              </w:rPr>
              <w:t xml:space="preserve">La DGI diseñó herramientas web para la recepción digital de las convocatorias de conciliación allegadas a la Agencia, así como de las notificaciones de las Demandas, con lo que busca proveer una herramienta informática que facilite el envío de las comunicaciones de conciliaciones extrajudiciales, judiciales y trámites arbitrales en los cuales estén comprometidos los intereses litigiosos de la Nación. </w:t>
            </w:r>
            <w:r w:rsidRPr="009B3F8D">
              <w:rPr>
                <w:b/>
                <w:sz w:val="20"/>
              </w:rPr>
              <w:t xml:space="preserve">Impacto: </w:t>
            </w:r>
            <w:r w:rsidRPr="009B3F8D">
              <w:rPr>
                <w:sz w:val="20"/>
              </w:rPr>
              <w:t xml:space="preserve">Recibir información estructurada y digitalizada, garantizando economía y celeridad en los trámites de cara al ciudadano. </w:t>
            </w:r>
          </w:p>
          <w:p w14:paraId="638CB380" w14:textId="77777777" w:rsidR="00B41BF4" w:rsidRPr="00A23109" w:rsidRDefault="00B41BF4" w:rsidP="00FF7374">
            <w:pPr>
              <w:jc w:val="both"/>
              <w:rPr>
                <w:sz w:val="20"/>
              </w:rPr>
            </w:pPr>
          </w:p>
          <w:p w14:paraId="27CF21D9" w14:textId="77777777" w:rsidR="00B41BF4" w:rsidRDefault="00B41BF4" w:rsidP="003445A7">
            <w:pPr>
              <w:pStyle w:val="Prrafodelista"/>
              <w:numPr>
                <w:ilvl w:val="0"/>
                <w:numId w:val="12"/>
              </w:numPr>
              <w:ind w:left="0"/>
              <w:jc w:val="both"/>
              <w:rPr>
                <w:sz w:val="20"/>
              </w:rPr>
            </w:pPr>
            <w:r w:rsidRPr="009B3F8D">
              <w:rPr>
                <w:b/>
                <w:sz w:val="20"/>
              </w:rPr>
              <w:t xml:space="preserve">Acción: </w:t>
            </w:r>
            <w:r w:rsidRPr="00A23109">
              <w:rPr>
                <w:b/>
                <w:i/>
                <w:sz w:val="20"/>
              </w:rPr>
              <w:t xml:space="preserve">Enriquecimiento del Sistema a través de la implementación de nuevos módulos y nuevas funcionalidades. (Módulo de autenticación, </w:t>
            </w:r>
            <w:proofErr w:type="spellStart"/>
            <w:r w:rsidRPr="00A23109">
              <w:rPr>
                <w:b/>
                <w:i/>
                <w:sz w:val="20"/>
              </w:rPr>
              <w:t>Homes</w:t>
            </w:r>
            <w:proofErr w:type="spellEnd"/>
            <w:r w:rsidRPr="00A23109">
              <w:rPr>
                <w:b/>
                <w:i/>
                <w:sz w:val="20"/>
              </w:rPr>
              <w:t xml:space="preserve"> por perfiles, y otras funcionalidades).</w:t>
            </w:r>
            <w:r w:rsidRPr="009B3F8D">
              <w:rPr>
                <w:b/>
                <w:sz w:val="20"/>
              </w:rPr>
              <w:t xml:space="preserve"> Objetivo: </w:t>
            </w:r>
            <w:r w:rsidRPr="009B3F8D">
              <w:rPr>
                <w:sz w:val="20"/>
              </w:rPr>
              <w:t xml:space="preserve">La DGI ha implementado nuevos módulos y nuevas funcionalidades del Sistema con el fin de optimizar y facilitar el proceso de captura de información estratégica, simplificando su uso para los usuarios y haciendo más eficiente su desempeño para el cumplimiento de las funciones de los actores del ciclo de defensa jurídica. </w:t>
            </w:r>
            <w:r w:rsidRPr="009B3F8D">
              <w:rPr>
                <w:b/>
                <w:sz w:val="20"/>
              </w:rPr>
              <w:t xml:space="preserve">Impacto: </w:t>
            </w:r>
            <w:r w:rsidRPr="009B3F8D">
              <w:rPr>
                <w:sz w:val="20"/>
              </w:rPr>
              <w:t>Tener una herramienta importante en el apoyo en la toma de decisiones estratégicas por parte de los diferentes actores que participan y gestionan acciones en el ciclo de defensa jurídica.</w:t>
            </w:r>
          </w:p>
          <w:p w14:paraId="50524E55" w14:textId="77777777" w:rsidR="00B41BF4" w:rsidRPr="00A23109" w:rsidRDefault="00B41BF4" w:rsidP="00FF7374">
            <w:pPr>
              <w:jc w:val="both"/>
              <w:rPr>
                <w:sz w:val="20"/>
              </w:rPr>
            </w:pPr>
          </w:p>
          <w:p w14:paraId="0093FE2E" w14:textId="77777777" w:rsidR="00B41BF4" w:rsidRDefault="00B41BF4" w:rsidP="003445A7">
            <w:pPr>
              <w:pStyle w:val="Prrafodelista"/>
              <w:numPr>
                <w:ilvl w:val="0"/>
                <w:numId w:val="12"/>
              </w:numPr>
              <w:ind w:left="0"/>
              <w:jc w:val="both"/>
              <w:rPr>
                <w:sz w:val="20"/>
              </w:rPr>
            </w:pPr>
            <w:r w:rsidRPr="009B3F8D">
              <w:rPr>
                <w:b/>
                <w:sz w:val="20"/>
              </w:rPr>
              <w:t xml:space="preserve">Acción: </w:t>
            </w:r>
            <w:r w:rsidRPr="00A23109">
              <w:rPr>
                <w:b/>
                <w:i/>
                <w:sz w:val="20"/>
              </w:rPr>
              <w:t>Diseño y puesta en marcha de los módulos "Gestión de casos prejudiciales", "Gestión de Comités de Conciliación",  "Gestión de Procesos Judiciales ", "Pagos y cumplimiento de sentencias", "Gestión de Tutelas" y "Jurisprudencia y Doctrina".</w:t>
            </w:r>
            <w:r w:rsidRPr="009B3F8D">
              <w:rPr>
                <w:b/>
                <w:sz w:val="20"/>
              </w:rPr>
              <w:t xml:space="preserve"> Objetivo: </w:t>
            </w:r>
            <w:r w:rsidRPr="009B3F8D">
              <w:rPr>
                <w:sz w:val="20"/>
              </w:rPr>
              <w:t xml:space="preserve">La DGI trabaja en el diseño y puesta en marcha de los módulos "Gestión de casos prejudiciales", "Gestión de Comités de Conciliación",  "Gestión de Procesos Judiciales ", "Pagos y cumplimiento de sentencias", "Gestión de Tutelas" y "Jurisprudencia y Doctrina", que son una herramienta para gestionar casos, acciones y procesos judiciales en curso en los que la Nación sea parte, de una forma eficaz, eficiente y oportuna, permiten la generación del conocimiento, y producción de información estratégica para la defensa de las entidades. </w:t>
            </w:r>
            <w:r w:rsidRPr="009B3F8D">
              <w:rPr>
                <w:b/>
                <w:sz w:val="20"/>
              </w:rPr>
              <w:t xml:space="preserve">Impacto: </w:t>
            </w:r>
            <w:r w:rsidRPr="009B3F8D">
              <w:rPr>
                <w:sz w:val="20"/>
              </w:rPr>
              <w:t>Contribuir a gestionar adecuadamente el riesgo fiscal asociado a los litigios contra la Nación, diseñar estrategias de defensa jurídica y formular políticas para la prevención del daño antijurídico.</w:t>
            </w:r>
          </w:p>
          <w:p w14:paraId="488AE262" w14:textId="77777777" w:rsidR="00B41BF4" w:rsidRPr="00A23109" w:rsidRDefault="00B41BF4" w:rsidP="00FF7374">
            <w:pPr>
              <w:jc w:val="both"/>
              <w:rPr>
                <w:sz w:val="20"/>
              </w:rPr>
            </w:pPr>
          </w:p>
          <w:p w14:paraId="131BA1DF" w14:textId="77777777" w:rsidR="00B41BF4" w:rsidRPr="006028A4" w:rsidRDefault="00B41BF4" w:rsidP="003445A7">
            <w:pPr>
              <w:pStyle w:val="Prrafodelista"/>
              <w:numPr>
                <w:ilvl w:val="0"/>
                <w:numId w:val="13"/>
              </w:numPr>
              <w:ind w:left="0"/>
              <w:jc w:val="both"/>
              <w:rPr>
                <w:sz w:val="20"/>
              </w:rPr>
            </w:pPr>
            <w:r w:rsidRPr="006028A4">
              <w:rPr>
                <w:b/>
                <w:sz w:val="20"/>
              </w:rPr>
              <w:t xml:space="preserve">Acción: </w:t>
            </w:r>
            <w:r w:rsidRPr="006028A4">
              <w:rPr>
                <w:b/>
                <w:i/>
                <w:sz w:val="20"/>
              </w:rPr>
              <w:t>Construcción de las herramientas tecnológicas para la migración de información.</w:t>
            </w:r>
            <w:r w:rsidRPr="006028A4">
              <w:rPr>
                <w:b/>
                <w:sz w:val="20"/>
              </w:rPr>
              <w:t xml:space="preserve"> Objetivo: </w:t>
            </w:r>
            <w:r w:rsidRPr="006028A4">
              <w:rPr>
                <w:sz w:val="20"/>
              </w:rPr>
              <w:t xml:space="preserve">La DGI adelanta el proceso de construcción de las herramientas tecnológicas para la migración de información, para lo cual ha trabajado en el diseño e implementación de un mecanismo de migración de la información litigiosa de las entidades al Sistema Único de Gestión e Información de la Actividad Litigiosa del Estado, garantizando la integridad de la información migrada. </w:t>
            </w:r>
            <w:r w:rsidRPr="006028A4">
              <w:rPr>
                <w:b/>
                <w:sz w:val="20"/>
              </w:rPr>
              <w:t xml:space="preserve">Impacto: </w:t>
            </w:r>
            <w:r w:rsidRPr="006028A4">
              <w:rPr>
                <w:sz w:val="20"/>
              </w:rPr>
              <w:t xml:space="preserve">Integrar y centralizar toda la información litigiosa de las entidades del orden nacional en un único Sistema, garantizando la calidad de la misma, que permita </w:t>
            </w:r>
            <w:r w:rsidRPr="006028A4">
              <w:rPr>
                <w:sz w:val="20"/>
              </w:rPr>
              <w:lastRenderedPageBreak/>
              <w:t>levantar mapas de riesgo que apoyen la toma de decisiones estratégicas orientadas a mejorar la defensa del Estado.</w:t>
            </w:r>
          </w:p>
          <w:p w14:paraId="261DA5E8" w14:textId="77777777" w:rsidR="00B41BF4" w:rsidRPr="00A23109" w:rsidRDefault="00B41BF4" w:rsidP="00FF7374">
            <w:pPr>
              <w:jc w:val="both"/>
              <w:rPr>
                <w:sz w:val="20"/>
              </w:rPr>
            </w:pPr>
          </w:p>
          <w:p w14:paraId="5A726A1B" w14:textId="77777777" w:rsidR="00B41BF4" w:rsidRPr="006028A4" w:rsidRDefault="00B41BF4" w:rsidP="003445A7">
            <w:pPr>
              <w:pStyle w:val="Prrafodelista"/>
              <w:numPr>
                <w:ilvl w:val="0"/>
                <w:numId w:val="13"/>
              </w:numPr>
              <w:ind w:left="0"/>
              <w:jc w:val="both"/>
              <w:rPr>
                <w:sz w:val="20"/>
              </w:rPr>
            </w:pPr>
            <w:r w:rsidRPr="006028A4">
              <w:rPr>
                <w:b/>
                <w:sz w:val="20"/>
              </w:rPr>
              <w:t xml:space="preserve">Acción: </w:t>
            </w:r>
            <w:r w:rsidRPr="006028A4">
              <w:rPr>
                <w:b/>
                <w:i/>
                <w:sz w:val="20"/>
              </w:rPr>
              <w:t>Elaboración de la documentación técnica y funcional del Sistema Único de Gestión e Información de la Actividad Litigiosa del Estado.</w:t>
            </w:r>
            <w:r w:rsidRPr="006028A4">
              <w:rPr>
                <w:b/>
                <w:sz w:val="20"/>
              </w:rPr>
              <w:t xml:space="preserve"> Objetivo: </w:t>
            </w:r>
            <w:r w:rsidRPr="006028A4">
              <w:rPr>
                <w:sz w:val="20"/>
              </w:rPr>
              <w:t xml:space="preserve">La DGI elabora la documentación técnica y funcional del Sistema Único de Gestión e Información de la Actividad Litigiosa del Estado, para documentar sus componentes tecnológicos y funcionales. </w:t>
            </w:r>
            <w:r w:rsidRPr="006028A4">
              <w:rPr>
                <w:b/>
                <w:sz w:val="20"/>
              </w:rPr>
              <w:t xml:space="preserve">Impacto: </w:t>
            </w:r>
            <w:r w:rsidRPr="006028A4">
              <w:rPr>
                <w:sz w:val="20"/>
              </w:rPr>
              <w:t xml:space="preserve">Brindar un adecuado soporte y mantenimiento al Sistema en razón a que esta documentación contiene los planos y arquitectura del mismo. </w:t>
            </w:r>
          </w:p>
          <w:p w14:paraId="725D69D1" w14:textId="77777777" w:rsidR="00B41BF4" w:rsidRPr="00A23109" w:rsidRDefault="00B41BF4" w:rsidP="00FF7374">
            <w:pPr>
              <w:jc w:val="both"/>
              <w:rPr>
                <w:sz w:val="20"/>
              </w:rPr>
            </w:pPr>
          </w:p>
          <w:p w14:paraId="04B1793B" w14:textId="77777777" w:rsidR="00B41BF4" w:rsidRPr="006028A4" w:rsidRDefault="00B41BF4" w:rsidP="003445A7">
            <w:pPr>
              <w:pStyle w:val="Prrafodelista"/>
              <w:numPr>
                <w:ilvl w:val="0"/>
                <w:numId w:val="13"/>
              </w:numPr>
              <w:ind w:left="0"/>
              <w:jc w:val="both"/>
              <w:rPr>
                <w:sz w:val="20"/>
              </w:rPr>
            </w:pPr>
            <w:r w:rsidRPr="006028A4">
              <w:rPr>
                <w:b/>
                <w:sz w:val="20"/>
              </w:rPr>
              <w:t xml:space="preserve">Acción: </w:t>
            </w:r>
            <w:r w:rsidRPr="006028A4">
              <w:rPr>
                <w:b/>
                <w:i/>
                <w:sz w:val="20"/>
              </w:rPr>
              <w:t>Elaboración de documento sobre la evolución funcional del Sistema.</w:t>
            </w:r>
            <w:r w:rsidRPr="006028A4">
              <w:rPr>
                <w:b/>
                <w:sz w:val="20"/>
              </w:rPr>
              <w:t xml:space="preserve"> Objetivo:</w:t>
            </w:r>
            <w:r w:rsidRPr="006028A4">
              <w:rPr>
                <w:sz w:val="20"/>
              </w:rPr>
              <w:t xml:space="preserve"> La DGI elaboró un documento sobre la evolución funcional del Sistema Único de Gestión e Información de la Actividad Litigiosa del Estado para definir los desarrollos que en 2013 se harían al mismo. </w:t>
            </w:r>
            <w:r w:rsidRPr="006028A4">
              <w:rPr>
                <w:b/>
                <w:sz w:val="20"/>
              </w:rPr>
              <w:t xml:space="preserve">Impacto: </w:t>
            </w:r>
            <w:r w:rsidRPr="006028A4">
              <w:rPr>
                <w:sz w:val="20"/>
              </w:rPr>
              <w:t>Garantizar la implementación de los desarrollos necesarios de acuerdo con la estrategia de evolución funcional y técnica del sistema con base en las necesidades de la Entidad.</w:t>
            </w:r>
          </w:p>
          <w:p w14:paraId="27847B1E" w14:textId="77777777" w:rsidR="00B41BF4" w:rsidRPr="00A23109" w:rsidRDefault="00B41BF4" w:rsidP="00FF7374">
            <w:pPr>
              <w:jc w:val="both"/>
              <w:rPr>
                <w:sz w:val="20"/>
              </w:rPr>
            </w:pPr>
          </w:p>
          <w:p w14:paraId="2073E798" w14:textId="77777777" w:rsidR="00B41BF4" w:rsidRPr="006028A4" w:rsidRDefault="00B41BF4" w:rsidP="003445A7">
            <w:pPr>
              <w:pStyle w:val="Prrafodelista"/>
              <w:numPr>
                <w:ilvl w:val="0"/>
                <w:numId w:val="13"/>
              </w:numPr>
              <w:ind w:left="0"/>
              <w:jc w:val="both"/>
              <w:rPr>
                <w:sz w:val="20"/>
              </w:rPr>
            </w:pPr>
            <w:r w:rsidRPr="006028A4">
              <w:rPr>
                <w:b/>
                <w:sz w:val="20"/>
              </w:rPr>
              <w:t xml:space="preserve">Acción: </w:t>
            </w:r>
            <w:r w:rsidRPr="006028A4">
              <w:rPr>
                <w:b/>
                <w:i/>
                <w:sz w:val="20"/>
              </w:rPr>
              <w:t>Diseño e implementación de tutoriales de uso del Sistema.</w:t>
            </w:r>
            <w:r w:rsidRPr="006028A4">
              <w:rPr>
                <w:b/>
                <w:sz w:val="20"/>
              </w:rPr>
              <w:t xml:space="preserve"> Objetivo:</w:t>
            </w:r>
            <w:r w:rsidRPr="006028A4">
              <w:rPr>
                <w:sz w:val="20"/>
              </w:rPr>
              <w:t xml:space="preserve"> La DGI se encuentra en proceso de diseño e implementación de los tutoriales del Sistema para proporcionar una herramienta que permita la capacitación permanente y en línea respecto al registro y manejo de la información que deba ingresarse y la que se puede extraer del mismo. </w:t>
            </w:r>
            <w:r w:rsidRPr="006028A4">
              <w:rPr>
                <w:b/>
                <w:sz w:val="20"/>
              </w:rPr>
              <w:t xml:space="preserve">Impacto: </w:t>
            </w:r>
            <w:r w:rsidRPr="006028A4">
              <w:rPr>
                <w:sz w:val="20"/>
              </w:rPr>
              <w:t xml:space="preserve">Mejorar la calidad de la información litigiosa que reportan los usuarios en el Sistema, así como reducir la demanda por soporte a usuarios para optimizar recursos físicos y humanos de la Agencia. </w:t>
            </w:r>
          </w:p>
          <w:p w14:paraId="198886D1" w14:textId="77777777" w:rsidR="00B41BF4" w:rsidRPr="00A23109" w:rsidRDefault="00B41BF4" w:rsidP="00FF7374">
            <w:pPr>
              <w:jc w:val="both"/>
              <w:rPr>
                <w:sz w:val="20"/>
              </w:rPr>
            </w:pPr>
          </w:p>
          <w:p w14:paraId="25A8B62D" w14:textId="77777777" w:rsidR="00B41BF4" w:rsidRPr="006028A4" w:rsidRDefault="00B41BF4" w:rsidP="003445A7">
            <w:pPr>
              <w:pStyle w:val="Prrafodelista"/>
              <w:numPr>
                <w:ilvl w:val="0"/>
                <w:numId w:val="13"/>
              </w:numPr>
              <w:ind w:left="0"/>
              <w:jc w:val="both"/>
              <w:rPr>
                <w:sz w:val="20"/>
              </w:rPr>
            </w:pPr>
            <w:r w:rsidRPr="006028A4">
              <w:rPr>
                <w:b/>
                <w:sz w:val="20"/>
              </w:rPr>
              <w:t xml:space="preserve">Acción: </w:t>
            </w:r>
            <w:r w:rsidRPr="006028A4">
              <w:rPr>
                <w:b/>
                <w:i/>
                <w:sz w:val="20"/>
              </w:rPr>
              <w:t>Construcción de  manuales de usuario y otras ayudas técnicas.</w:t>
            </w:r>
            <w:r w:rsidRPr="006028A4">
              <w:rPr>
                <w:b/>
                <w:sz w:val="20"/>
              </w:rPr>
              <w:t xml:space="preserve"> Objetivo: </w:t>
            </w:r>
            <w:r w:rsidRPr="006028A4">
              <w:rPr>
                <w:sz w:val="20"/>
              </w:rPr>
              <w:t xml:space="preserve">La DGI elabora los manuales de usuario y otras ayudas técnicas para el uso del Sistema, personalizando cada uno de los roles de usuario de manera tal que las competencias funcionales estén definidas de acuerdo al nivel de responsabilidad del actor del ciclo defensa jurídica dentro del Sistema. </w:t>
            </w:r>
            <w:r w:rsidRPr="006028A4">
              <w:rPr>
                <w:b/>
                <w:sz w:val="20"/>
              </w:rPr>
              <w:t xml:space="preserve">Impacto: </w:t>
            </w:r>
            <w:r w:rsidRPr="006028A4">
              <w:rPr>
                <w:sz w:val="20"/>
              </w:rPr>
              <w:t>Garantizará la captura de la información de conformidad con el nivel de responsabilidades dentro del Sistema, de manera que los objetivos del mismo se cumplan de conformidad con los lineamientos dados por la Agencia.</w:t>
            </w:r>
          </w:p>
          <w:p w14:paraId="5461A34E" w14:textId="77777777" w:rsidR="00B41BF4" w:rsidRPr="009B3F8D" w:rsidRDefault="00B41BF4" w:rsidP="00FF7374">
            <w:pPr>
              <w:pStyle w:val="Prrafodelista"/>
              <w:ind w:left="0"/>
              <w:jc w:val="both"/>
              <w:rPr>
                <w:sz w:val="20"/>
              </w:rPr>
            </w:pPr>
          </w:p>
          <w:p w14:paraId="40C2C1B3" w14:textId="77777777" w:rsidR="00B41BF4" w:rsidRPr="0051484E" w:rsidRDefault="00B41BF4" w:rsidP="003445A7">
            <w:pPr>
              <w:pStyle w:val="Prrafodelista"/>
              <w:numPr>
                <w:ilvl w:val="0"/>
                <w:numId w:val="14"/>
              </w:numPr>
              <w:ind w:left="0"/>
              <w:jc w:val="both"/>
            </w:pPr>
            <w:r w:rsidRPr="0051484E">
              <w:rPr>
                <w:b/>
                <w:sz w:val="20"/>
              </w:rPr>
              <w:t xml:space="preserve">Acción: </w:t>
            </w:r>
            <w:r w:rsidRPr="0051484E">
              <w:rPr>
                <w:b/>
                <w:i/>
                <w:sz w:val="20"/>
              </w:rPr>
              <w:t>Realización de Jornadas de socialización y sensibilización.</w:t>
            </w:r>
            <w:r w:rsidRPr="0051484E">
              <w:rPr>
                <w:b/>
                <w:sz w:val="20"/>
              </w:rPr>
              <w:t xml:space="preserve"> Objetivo: </w:t>
            </w:r>
            <w:r w:rsidRPr="0051484E">
              <w:rPr>
                <w:sz w:val="20"/>
              </w:rPr>
              <w:t xml:space="preserve">La DGI ha realizado jornadas de socialización y sensibilización para apoyar a los usuarios del Sistema mediante asesoría personalizada por parte de funcionarios de la Agencia, con el fin de resolver inquietudes, mostrar las distintas funcionalidades y hacer énfasis en las responsabilidades de los diferentes actores del ciclo de defensa frente al uso del Sistema. </w:t>
            </w:r>
            <w:r w:rsidRPr="0051484E">
              <w:rPr>
                <w:b/>
                <w:sz w:val="20"/>
              </w:rPr>
              <w:t xml:space="preserve">Impacto: </w:t>
            </w:r>
            <w:r w:rsidRPr="0051484E">
              <w:rPr>
                <w:sz w:val="20"/>
              </w:rPr>
              <w:t>Mejorar la captura de información de la actividad litigiosa de las entidades usuarias del Sistema, cumpliendo criterios de oportunidad, completitud y veracidad, ajustados a las directrices impartidas por la Agencia.</w:t>
            </w:r>
          </w:p>
        </w:tc>
      </w:tr>
      <w:tr w:rsidR="00B41BF4" w:rsidRPr="004E5F7F" w14:paraId="4D79C87D" w14:textId="77777777" w:rsidTr="00E46994">
        <w:tc>
          <w:tcPr>
            <w:tcW w:w="2523" w:type="dxa"/>
            <w:shd w:val="clear" w:color="auto" w:fill="CCC0D9" w:themeFill="accent4" w:themeFillTint="66"/>
          </w:tcPr>
          <w:p w14:paraId="7CDC5770" w14:textId="77777777" w:rsidR="00B41BF4" w:rsidRDefault="00B41BF4" w:rsidP="00FF7374">
            <w:pPr>
              <w:jc w:val="center"/>
              <w:rPr>
                <w:b/>
              </w:rPr>
            </w:pPr>
          </w:p>
          <w:p w14:paraId="2C135AE6" w14:textId="77777777" w:rsidR="00B41BF4" w:rsidRDefault="00B41BF4" w:rsidP="00FF7374">
            <w:pPr>
              <w:jc w:val="center"/>
              <w:rPr>
                <w:b/>
              </w:rPr>
            </w:pPr>
          </w:p>
          <w:p w14:paraId="7D930317" w14:textId="77777777" w:rsidR="00B41BF4" w:rsidRDefault="00B41BF4" w:rsidP="00FF7374">
            <w:pPr>
              <w:jc w:val="center"/>
              <w:rPr>
                <w:b/>
              </w:rPr>
            </w:pPr>
          </w:p>
          <w:p w14:paraId="0BEA8BE2" w14:textId="77777777" w:rsidR="00FC5DAD" w:rsidRDefault="00FC5DAD" w:rsidP="00FF7374">
            <w:pPr>
              <w:jc w:val="center"/>
              <w:rPr>
                <w:b/>
              </w:rPr>
            </w:pPr>
          </w:p>
          <w:p w14:paraId="400520C3" w14:textId="77777777" w:rsidR="00FC5DAD" w:rsidRDefault="00FC5DAD" w:rsidP="00FF7374">
            <w:pPr>
              <w:jc w:val="center"/>
              <w:rPr>
                <w:b/>
              </w:rPr>
            </w:pPr>
          </w:p>
          <w:p w14:paraId="1FC6B381" w14:textId="77777777" w:rsidR="00FC5DAD" w:rsidRDefault="00FC5DAD" w:rsidP="00FF7374">
            <w:pPr>
              <w:jc w:val="center"/>
              <w:rPr>
                <w:b/>
              </w:rPr>
            </w:pPr>
          </w:p>
          <w:p w14:paraId="24E12D76" w14:textId="77777777" w:rsidR="00FC5DAD" w:rsidRDefault="00FC5DAD" w:rsidP="00FF7374">
            <w:pPr>
              <w:jc w:val="center"/>
              <w:rPr>
                <w:b/>
              </w:rPr>
            </w:pPr>
          </w:p>
          <w:p w14:paraId="6D99DA49" w14:textId="77777777" w:rsidR="00FC5DAD" w:rsidRDefault="00FC5DAD" w:rsidP="00FF7374">
            <w:pPr>
              <w:jc w:val="center"/>
              <w:rPr>
                <w:b/>
              </w:rPr>
            </w:pPr>
          </w:p>
          <w:p w14:paraId="42581B3B" w14:textId="77777777" w:rsidR="00FC5DAD" w:rsidRDefault="00FC5DAD" w:rsidP="00FF7374">
            <w:pPr>
              <w:jc w:val="center"/>
              <w:rPr>
                <w:b/>
              </w:rPr>
            </w:pPr>
          </w:p>
          <w:p w14:paraId="491971E3" w14:textId="77777777" w:rsidR="00FC5DAD" w:rsidRDefault="00FC5DAD" w:rsidP="00FF7374">
            <w:pPr>
              <w:jc w:val="center"/>
              <w:rPr>
                <w:b/>
              </w:rPr>
            </w:pPr>
          </w:p>
          <w:p w14:paraId="7032E7EE" w14:textId="77777777" w:rsidR="00FC5DAD" w:rsidRDefault="00FC5DAD" w:rsidP="00FF7374">
            <w:pPr>
              <w:jc w:val="center"/>
              <w:rPr>
                <w:b/>
              </w:rPr>
            </w:pPr>
          </w:p>
          <w:p w14:paraId="6BF886D3" w14:textId="77777777" w:rsidR="00FC5DAD" w:rsidRDefault="00FC5DAD" w:rsidP="00FF7374">
            <w:pPr>
              <w:jc w:val="center"/>
              <w:rPr>
                <w:b/>
              </w:rPr>
            </w:pPr>
          </w:p>
          <w:p w14:paraId="3859461D" w14:textId="77777777" w:rsidR="00FC5DAD" w:rsidRDefault="00FC5DAD" w:rsidP="00FF7374">
            <w:pPr>
              <w:jc w:val="center"/>
              <w:rPr>
                <w:b/>
              </w:rPr>
            </w:pPr>
          </w:p>
          <w:p w14:paraId="53E38AF2" w14:textId="77777777" w:rsidR="00B41BF4" w:rsidRDefault="00B41BF4" w:rsidP="00FF7374">
            <w:pPr>
              <w:jc w:val="center"/>
              <w:rPr>
                <w:b/>
              </w:rPr>
            </w:pPr>
            <w:r>
              <w:rPr>
                <w:b/>
              </w:rPr>
              <w:t xml:space="preserve">DIRECCIÓN DE POLÍTICAS Y ESTRATEGIAS  </w:t>
            </w:r>
          </w:p>
        </w:tc>
        <w:tc>
          <w:tcPr>
            <w:tcW w:w="6549" w:type="dxa"/>
          </w:tcPr>
          <w:p w14:paraId="5B563988" w14:textId="77777777" w:rsidR="00B41BF4" w:rsidRDefault="00B41BF4" w:rsidP="003445A7">
            <w:pPr>
              <w:pStyle w:val="Prrafodelista"/>
              <w:numPr>
                <w:ilvl w:val="0"/>
                <w:numId w:val="11"/>
              </w:numPr>
              <w:ind w:left="0"/>
              <w:jc w:val="both"/>
              <w:rPr>
                <w:b/>
                <w:sz w:val="20"/>
              </w:rPr>
            </w:pPr>
            <w:r w:rsidRPr="00C2134E">
              <w:rPr>
                <w:b/>
                <w:sz w:val="20"/>
              </w:rPr>
              <w:t>Proyecto - Implementación del Módulo Jurisprudencial en Litigob. Objetivo:</w:t>
            </w:r>
            <w:r>
              <w:rPr>
                <w:sz w:val="20"/>
              </w:rPr>
              <w:t xml:space="preserve"> i</w:t>
            </w:r>
            <w:r w:rsidRPr="00C2134E">
              <w:rPr>
                <w:sz w:val="20"/>
              </w:rPr>
              <w:t>mplementar un instrumento de consulta actualizada para que los abogados de Direcci</w:t>
            </w:r>
            <w:r w:rsidR="00317BFB">
              <w:rPr>
                <w:sz w:val="20"/>
              </w:rPr>
              <w:t>ó</w:t>
            </w:r>
            <w:r w:rsidRPr="00C2134E">
              <w:rPr>
                <w:sz w:val="20"/>
              </w:rPr>
              <w:t xml:space="preserve">n Jurídica, puedan anticipar la decisión judicial en el caso concreto y elaborar la correspondiente estrategia de defensa prejudicial y judicial. </w:t>
            </w:r>
            <w:r w:rsidRPr="00C2134E">
              <w:rPr>
                <w:b/>
                <w:sz w:val="20"/>
              </w:rPr>
              <w:t>Impacto:</w:t>
            </w:r>
            <w:r>
              <w:rPr>
                <w:sz w:val="20"/>
              </w:rPr>
              <w:t xml:space="preserve"> - i</w:t>
            </w:r>
            <w:r w:rsidRPr="00C2134E">
              <w:rPr>
                <w:sz w:val="20"/>
              </w:rPr>
              <w:t>nsumo para la elaboración de políticas de prevención del daño antijurídico y formulación de estrategias de defensa.</w:t>
            </w:r>
            <w:r>
              <w:rPr>
                <w:sz w:val="20"/>
              </w:rPr>
              <w:t xml:space="preserve">  </w:t>
            </w:r>
            <w:r w:rsidRPr="00C2134E">
              <w:rPr>
                <w:sz w:val="20"/>
              </w:rPr>
              <w:t>- Coadyuvar en la reducción de las condenas al Estado y/o los montos de éstas</w:t>
            </w:r>
            <w:r w:rsidRPr="00C2134E">
              <w:rPr>
                <w:b/>
                <w:sz w:val="20"/>
              </w:rPr>
              <w:t>.</w:t>
            </w:r>
            <w:r>
              <w:rPr>
                <w:b/>
                <w:sz w:val="20"/>
              </w:rPr>
              <w:t xml:space="preserve"> </w:t>
            </w:r>
            <w:r w:rsidRPr="004B5748">
              <w:rPr>
                <w:b/>
                <w:sz w:val="20"/>
              </w:rPr>
              <w:t>(</w:t>
            </w:r>
            <w:r>
              <w:rPr>
                <w:b/>
                <w:sz w:val="20"/>
              </w:rPr>
              <w:t>E</w:t>
            </w:r>
            <w:r w:rsidRPr="004B5748">
              <w:rPr>
                <w:b/>
                <w:sz w:val="20"/>
              </w:rPr>
              <w:t>n desarrollo)</w:t>
            </w:r>
            <w:r>
              <w:rPr>
                <w:b/>
                <w:sz w:val="20"/>
              </w:rPr>
              <w:t xml:space="preserve"> </w:t>
            </w:r>
          </w:p>
          <w:p w14:paraId="15EA0B86" w14:textId="77777777" w:rsidR="00B41BF4" w:rsidRDefault="00B41BF4" w:rsidP="003445A7">
            <w:pPr>
              <w:pStyle w:val="Prrafodelista"/>
              <w:numPr>
                <w:ilvl w:val="0"/>
                <w:numId w:val="11"/>
              </w:numPr>
              <w:ind w:left="0"/>
              <w:jc w:val="both"/>
              <w:rPr>
                <w:sz w:val="20"/>
              </w:rPr>
            </w:pPr>
            <w:r w:rsidRPr="004B5748">
              <w:rPr>
                <w:b/>
                <w:sz w:val="20"/>
              </w:rPr>
              <w:t>Línea jurisprudencial - Liquidación y reestructuración de entidades públicas. Objetivo:</w:t>
            </w:r>
            <w:r>
              <w:rPr>
                <w:sz w:val="20"/>
              </w:rPr>
              <w:t xml:space="preserve"> c</w:t>
            </w:r>
            <w:r w:rsidRPr="00C2134E">
              <w:rPr>
                <w:sz w:val="20"/>
              </w:rPr>
              <w:t xml:space="preserve">onstruir una herramienta para: (i) elaborar políticas generales de prevención del daño en la materia; y (ii) permitir que los abogados en temas relacionados con daños causados por liquidación y restructuración de entidades, puedan anticipar la decisión judicial en el caso concreto, con el fin de elaborar la correspondiente estrategia de defensa. </w:t>
            </w:r>
            <w:r w:rsidRPr="004B5748">
              <w:rPr>
                <w:b/>
                <w:sz w:val="20"/>
              </w:rPr>
              <w:t>Impacto:</w:t>
            </w:r>
            <w:r>
              <w:rPr>
                <w:sz w:val="20"/>
              </w:rPr>
              <w:t xml:space="preserve"> c</w:t>
            </w:r>
            <w:r w:rsidRPr="00C2134E">
              <w:rPr>
                <w:sz w:val="20"/>
              </w:rPr>
              <w:t>oadyuvar en la reducción de las demandas y/o condenas por daños en liquidación y restructuración de entidades públicas.</w:t>
            </w:r>
            <w:r>
              <w:rPr>
                <w:b/>
                <w:sz w:val="20"/>
              </w:rPr>
              <w:t xml:space="preserve"> (E</w:t>
            </w:r>
            <w:r w:rsidRPr="004B5748">
              <w:rPr>
                <w:b/>
                <w:sz w:val="20"/>
              </w:rPr>
              <w:t>n desarrollo)</w:t>
            </w:r>
          </w:p>
          <w:p w14:paraId="4EC8C37C" w14:textId="77777777" w:rsidR="00B41BF4" w:rsidRPr="0051484E" w:rsidRDefault="00B41BF4" w:rsidP="003445A7">
            <w:pPr>
              <w:pStyle w:val="Prrafodelista"/>
              <w:numPr>
                <w:ilvl w:val="0"/>
                <w:numId w:val="11"/>
              </w:numPr>
              <w:ind w:left="0"/>
              <w:jc w:val="both"/>
              <w:rPr>
                <w:sz w:val="20"/>
              </w:rPr>
            </w:pPr>
            <w:r w:rsidRPr="004B5748">
              <w:rPr>
                <w:b/>
                <w:sz w:val="20"/>
              </w:rPr>
              <w:t>Línea jurisprudencial – Daños causados a conscriptos. Objetivo:</w:t>
            </w:r>
            <w:r w:rsidRPr="004B5748">
              <w:rPr>
                <w:sz w:val="20"/>
              </w:rPr>
              <w:t xml:space="preserve"> </w:t>
            </w:r>
            <w:r>
              <w:rPr>
                <w:sz w:val="20"/>
              </w:rPr>
              <w:t>c</w:t>
            </w:r>
            <w:r w:rsidRPr="004B5748">
              <w:rPr>
                <w:sz w:val="20"/>
              </w:rPr>
              <w:t>onstruir una herramienta para: (i) elaborar políticas generales de prevención de daños a conscriptos; y (ii) permitir que los abogados en temas relacionados con daños causados a conscriptos, puedan anticipar la decisión judicial en el caso concreto, con el fin de elaborar la correspondiente estrategia de defensa prejudicial y judicial.</w:t>
            </w:r>
            <w:r>
              <w:rPr>
                <w:sz w:val="20"/>
              </w:rPr>
              <w:t xml:space="preserve"> </w:t>
            </w:r>
            <w:r w:rsidRPr="004B5748">
              <w:rPr>
                <w:b/>
                <w:sz w:val="20"/>
              </w:rPr>
              <w:t>Impacto:</w:t>
            </w:r>
            <w:r>
              <w:rPr>
                <w:sz w:val="20"/>
              </w:rPr>
              <w:t xml:space="preserve"> c</w:t>
            </w:r>
            <w:r w:rsidRPr="004B5748">
              <w:rPr>
                <w:sz w:val="20"/>
              </w:rPr>
              <w:t>oadyuvar en la reducción de las demandas y/o condenas por daños causados a conscriptos</w:t>
            </w:r>
            <w:r>
              <w:rPr>
                <w:sz w:val="20"/>
              </w:rPr>
              <w:t>.</w:t>
            </w:r>
            <w:r>
              <w:rPr>
                <w:b/>
                <w:sz w:val="20"/>
              </w:rPr>
              <w:t xml:space="preserve"> (E</w:t>
            </w:r>
            <w:r w:rsidRPr="004B5748">
              <w:rPr>
                <w:b/>
                <w:sz w:val="20"/>
              </w:rPr>
              <w:t>n desarrollo)</w:t>
            </w:r>
          </w:p>
          <w:p w14:paraId="0700418B" w14:textId="77777777" w:rsidR="0051484E" w:rsidRDefault="0051484E" w:rsidP="00FF7374">
            <w:pPr>
              <w:pStyle w:val="Prrafodelista"/>
              <w:ind w:left="0"/>
              <w:jc w:val="both"/>
              <w:rPr>
                <w:sz w:val="20"/>
              </w:rPr>
            </w:pPr>
          </w:p>
          <w:p w14:paraId="2FDF2EA4" w14:textId="77777777" w:rsidR="00B41BF4" w:rsidRDefault="00B41BF4" w:rsidP="003445A7">
            <w:pPr>
              <w:pStyle w:val="Prrafodelista"/>
              <w:numPr>
                <w:ilvl w:val="0"/>
                <w:numId w:val="11"/>
              </w:numPr>
              <w:ind w:left="0"/>
              <w:jc w:val="both"/>
              <w:rPr>
                <w:b/>
                <w:sz w:val="20"/>
              </w:rPr>
            </w:pPr>
            <w:r w:rsidRPr="004B5748">
              <w:rPr>
                <w:b/>
                <w:sz w:val="20"/>
              </w:rPr>
              <w:t>Línea jurisprudencial  - Daño  a miembro voluntario de la fuerza pública</w:t>
            </w:r>
            <w:r>
              <w:rPr>
                <w:b/>
                <w:sz w:val="20"/>
              </w:rPr>
              <w:t xml:space="preserve">. </w:t>
            </w:r>
            <w:r w:rsidRPr="004B5748">
              <w:rPr>
                <w:b/>
                <w:sz w:val="20"/>
              </w:rPr>
              <w:t xml:space="preserve">Objetivo: </w:t>
            </w:r>
            <w:r w:rsidRPr="004B5748">
              <w:rPr>
                <w:sz w:val="20"/>
              </w:rPr>
              <w:t xml:space="preserve">construir una herramienta para: (i) elaborar políticas generales de prevención de daños a conscriptos; y (ii) que los abogados en temas relacionados con  daños causados a miembros voluntarios de la fuerza pública, puedan anticipar la decisión judicial en el caso concreto, con el fin de elaborar la correspondiente estrategia de defensa prejudicial y judicial. </w:t>
            </w:r>
            <w:r w:rsidRPr="004B5748">
              <w:rPr>
                <w:b/>
                <w:sz w:val="20"/>
              </w:rPr>
              <w:t>Impacto:</w:t>
            </w:r>
            <w:r w:rsidRPr="004B5748">
              <w:rPr>
                <w:sz w:val="20"/>
              </w:rPr>
              <w:t xml:space="preserve"> </w:t>
            </w:r>
            <w:r>
              <w:rPr>
                <w:sz w:val="20"/>
              </w:rPr>
              <w:t>c</w:t>
            </w:r>
            <w:r w:rsidRPr="004B5748">
              <w:rPr>
                <w:sz w:val="20"/>
              </w:rPr>
              <w:t>oadyuvar en la reducción de las condenas por daños causados a miembros voluntarios de la fuerza pública.</w:t>
            </w:r>
            <w:r>
              <w:rPr>
                <w:b/>
                <w:sz w:val="20"/>
              </w:rPr>
              <w:t xml:space="preserve"> (E</w:t>
            </w:r>
            <w:r w:rsidRPr="004B5748">
              <w:rPr>
                <w:b/>
                <w:sz w:val="20"/>
              </w:rPr>
              <w:t>n desarrollo)</w:t>
            </w:r>
            <w:r>
              <w:rPr>
                <w:b/>
                <w:sz w:val="20"/>
              </w:rPr>
              <w:t>.</w:t>
            </w:r>
          </w:p>
          <w:p w14:paraId="200D0573" w14:textId="77777777" w:rsidR="0051484E" w:rsidRPr="0051484E" w:rsidRDefault="0051484E" w:rsidP="00FF7374">
            <w:pPr>
              <w:pStyle w:val="Prrafodelista"/>
              <w:ind w:left="0"/>
              <w:rPr>
                <w:b/>
                <w:sz w:val="20"/>
              </w:rPr>
            </w:pPr>
          </w:p>
          <w:p w14:paraId="2E96C546" w14:textId="77777777" w:rsidR="0051484E" w:rsidRDefault="00B41BF4" w:rsidP="003445A7">
            <w:pPr>
              <w:pStyle w:val="Prrafodelista"/>
              <w:numPr>
                <w:ilvl w:val="0"/>
                <w:numId w:val="11"/>
              </w:numPr>
              <w:ind w:left="0"/>
              <w:jc w:val="both"/>
              <w:rPr>
                <w:b/>
                <w:sz w:val="20"/>
              </w:rPr>
            </w:pPr>
            <w:r w:rsidRPr="004B5748">
              <w:rPr>
                <w:b/>
                <w:sz w:val="20"/>
              </w:rPr>
              <w:t>Línea jurisprudencial  - Conciliación prejudicial y judicial  en lo contencioso administrativo</w:t>
            </w:r>
            <w:r>
              <w:rPr>
                <w:b/>
                <w:sz w:val="20"/>
              </w:rPr>
              <w:t xml:space="preserve">. </w:t>
            </w:r>
            <w:r w:rsidRPr="004B5748">
              <w:rPr>
                <w:b/>
                <w:sz w:val="20"/>
              </w:rPr>
              <w:t xml:space="preserve">Objetivo: </w:t>
            </w:r>
            <w:r>
              <w:rPr>
                <w:sz w:val="20"/>
              </w:rPr>
              <w:t>c</w:t>
            </w:r>
            <w:r w:rsidRPr="004B5748">
              <w:rPr>
                <w:sz w:val="20"/>
              </w:rPr>
              <w:t xml:space="preserve">onstruir una herramienta para que las entidades estén al tanto de las sub reglas procesales que en materia de conciliación fija la jurisprudencia. </w:t>
            </w:r>
            <w:r w:rsidRPr="004B5748">
              <w:rPr>
                <w:b/>
                <w:sz w:val="20"/>
              </w:rPr>
              <w:t>Impacto:</w:t>
            </w:r>
            <w:r>
              <w:rPr>
                <w:sz w:val="20"/>
              </w:rPr>
              <w:t xml:space="preserve"> c</w:t>
            </w:r>
            <w:r w:rsidRPr="004B5748">
              <w:rPr>
                <w:sz w:val="20"/>
              </w:rPr>
              <w:t xml:space="preserve">oadyuvar a tener un ser más eficaz el mecanismo de la conciliación </w:t>
            </w:r>
            <w:r w:rsidRPr="004B5748">
              <w:rPr>
                <w:b/>
                <w:sz w:val="20"/>
              </w:rPr>
              <w:t>(</w:t>
            </w:r>
            <w:r>
              <w:rPr>
                <w:b/>
                <w:sz w:val="20"/>
              </w:rPr>
              <w:t>E</w:t>
            </w:r>
            <w:r w:rsidRPr="004B5748">
              <w:rPr>
                <w:b/>
                <w:sz w:val="20"/>
              </w:rPr>
              <w:t>n desarrollo)</w:t>
            </w:r>
            <w:r>
              <w:rPr>
                <w:b/>
                <w:sz w:val="20"/>
              </w:rPr>
              <w:t>.</w:t>
            </w:r>
          </w:p>
          <w:p w14:paraId="691AE69E" w14:textId="77777777" w:rsidR="0051484E" w:rsidRPr="0051484E" w:rsidRDefault="0051484E" w:rsidP="00FF7374">
            <w:pPr>
              <w:pStyle w:val="Prrafodelista"/>
              <w:ind w:left="0"/>
              <w:rPr>
                <w:sz w:val="20"/>
              </w:rPr>
            </w:pPr>
          </w:p>
          <w:p w14:paraId="480E3395" w14:textId="77777777" w:rsidR="00B41BF4" w:rsidRPr="00CB4312" w:rsidRDefault="00B41BF4" w:rsidP="003445A7">
            <w:pPr>
              <w:pStyle w:val="Prrafodelista"/>
              <w:numPr>
                <w:ilvl w:val="0"/>
                <w:numId w:val="11"/>
              </w:numPr>
              <w:ind w:left="0"/>
              <w:jc w:val="both"/>
              <w:rPr>
                <w:b/>
                <w:sz w:val="20"/>
              </w:rPr>
            </w:pPr>
            <w:r w:rsidRPr="00CB4312">
              <w:rPr>
                <w:b/>
                <w:sz w:val="20"/>
              </w:rPr>
              <w:t xml:space="preserve">Línea jurisprudencial - Privación Injusta de la libertad – Complemento. Objetivo: </w:t>
            </w:r>
            <w:r w:rsidRPr="00CB4312">
              <w:rPr>
                <w:sz w:val="20"/>
              </w:rPr>
              <w:t xml:space="preserve">construir una herramienta para que los abogados, puedan anticipar la decisión judicial en el caso concreto, con el fin de elaborar la correspondiente estrategia de defensa prejudicial y judicial. </w:t>
            </w:r>
            <w:r w:rsidRPr="00CB4312">
              <w:rPr>
                <w:b/>
                <w:sz w:val="20"/>
              </w:rPr>
              <w:t>Impacto:</w:t>
            </w:r>
            <w:r>
              <w:rPr>
                <w:sz w:val="20"/>
              </w:rPr>
              <w:t xml:space="preserve"> c</w:t>
            </w:r>
            <w:r w:rsidRPr="00CB4312">
              <w:rPr>
                <w:sz w:val="20"/>
              </w:rPr>
              <w:t>oadyuvar en la reducción de las condenas por privación injusta de la libertad.</w:t>
            </w:r>
            <w:r w:rsidRPr="004B5748">
              <w:rPr>
                <w:b/>
                <w:sz w:val="20"/>
              </w:rPr>
              <w:t xml:space="preserve"> (</w:t>
            </w:r>
            <w:r>
              <w:rPr>
                <w:b/>
                <w:sz w:val="20"/>
              </w:rPr>
              <w:t>E</w:t>
            </w:r>
            <w:r w:rsidRPr="004B5748">
              <w:rPr>
                <w:b/>
                <w:sz w:val="20"/>
              </w:rPr>
              <w:t>n desarrollo)</w:t>
            </w:r>
            <w:r>
              <w:rPr>
                <w:b/>
                <w:sz w:val="20"/>
              </w:rPr>
              <w:t>.</w:t>
            </w:r>
            <w:r w:rsidRPr="004B5748">
              <w:rPr>
                <w:sz w:val="20"/>
              </w:rPr>
              <w:t xml:space="preserve">  </w:t>
            </w:r>
          </w:p>
          <w:p w14:paraId="63DDC274" w14:textId="77777777" w:rsidR="00B41BF4" w:rsidRPr="00C2134E" w:rsidRDefault="00B41BF4" w:rsidP="00FF7374">
            <w:pPr>
              <w:pStyle w:val="Prrafodelista"/>
              <w:ind w:left="0"/>
              <w:jc w:val="both"/>
              <w:rPr>
                <w:sz w:val="20"/>
              </w:rPr>
            </w:pPr>
          </w:p>
        </w:tc>
      </w:tr>
    </w:tbl>
    <w:p w14:paraId="540D2FE9" w14:textId="77777777" w:rsidR="007E129E" w:rsidRDefault="007E129E" w:rsidP="000C7FB3">
      <w:pPr>
        <w:spacing w:after="0"/>
        <w:jc w:val="both"/>
      </w:pPr>
    </w:p>
    <w:p w14:paraId="18F3E8F2" w14:textId="77777777" w:rsidR="009D563E" w:rsidRPr="000F3F40" w:rsidRDefault="005C66D9" w:rsidP="005C66D9">
      <w:pPr>
        <w:spacing w:after="0"/>
        <w:jc w:val="center"/>
        <w:rPr>
          <w:sz w:val="22"/>
          <w:szCs w:val="22"/>
        </w:rPr>
      </w:pPr>
      <w:r w:rsidRPr="00E46994">
        <w:rPr>
          <w:b/>
          <w:sz w:val="20"/>
          <w:szCs w:val="20"/>
        </w:rPr>
        <w:lastRenderedPageBreak/>
        <w:t xml:space="preserve">Tabla </w:t>
      </w:r>
      <w:r w:rsidR="007E129E" w:rsidRPr="00E46994">
        <w:rPr>
          <w:b/>
          <w:sz w:val="20"/>
          <w:szCs w:val="20"/>
        </w:rPr>
        <w:t xml:space="preserve"> 1</w:t>
      </w:r>
      <w:r w:rsidR="00A33517">
        <w:rPr>
          <w:b/>
          <w:sz w:val="20"/>
          <w:szCs w:val="20"/>
        </w:rPr>
        <w:t>6</w:t>
      </w:r>
      <w:r w:rsidR="007E129E">
        <w:rPr>
          <w:b/>
          <w:sz w:val="20"/>
          <w:szCs w:val="20"/>
        </w:rPr>
        <w:t xml:space="preserve">. </w:t>
      </w:r>
      <w:r w:rsidR="007E129E" w:rsidRPr="00E46994">
        <w:rPr>
          <w:b/>
          <w:sz w:val="22"/>
          <w:szCs w:val="22"/>
        </w:rPr>
        <w:t xml:space="preserve"> </w:t>
      </w:r>
      <w:r w:rsidRPr="00E46994">
        <w:rPr>
          <w:b/>
          <w:sz w:val="22"/>
          <w:szCs w:val="22"/>
        </w:rPr>
        <w:t>Acciones prejudiciales</w:t>
      </w:r>
      <w:r w:rsidR="005C2E83">
        <w:rPr>
          <w:b/>
          <w:sz w:val="22"/>
          <w:szCs w:val="22"/>
        </w:rPr>
        <w:t xml:space="preserve"> dentro del ciclo de defensa</w:t>
      </w:r>
    </w:p>
    <w:p w14:paraId="603C4396" w14:textId="77777777" w:rsidR="00B41BF4" w:rsidRPr="004E5F7F" w:rsidRDefault="00B41BF4" w:rsidP="000C7FB3">
      <w:pPr>
        <w:spacing w:after="0"/>
        <w:jc w:val="both"/>
      </w:pPr>
    </w:p>
    <w:tbl>
      <w:tblPr>
        <w:tblStyle w:val="Tablaconcuadrcula"/>
        <w:tblW w:w="8959" w:type="dxa"/>
        <w:tblInd w:w="108" w:type="dxa"/>
        <w:tblLook w:val="04A0" w:firstRow="1" w:lastRow="0" w:firstColumn="1" w:lastColumn="0" w:noHBand="0" w:noVBand="1"/>
      </w:tblPr>
      <w:tblGrid>
        <w:gridCol w:w="2408"/>
        <w:gridCol w:w="6551"/>
      </w:tblGrid>
      <w:tr w:rsidR="00B41BF4" w:rsidRPr="004E5F7F" w14:paraId="52E3D246" w14:textId="77777777" w:rsidTr="00FC5DAD">
        <w:trPr>
          <w:trHeight w:val="758"/>
        </w:trPr>
        <w:tc>
          <w:tcPr>
            <w:tcW w:w="2408" w:type="dxa"/>
          </w:tcPr>
          <w:p w14:paraId="02F9A9C3" w14:textId="77777777" w:rsidR="00FC5DAD" w:rsidRPr="004E5F7F" w:rsidRDefault="008349EC" w:rsidP="000C7FB3">
            <w:pPr>
              <w:jc w:val="both"/>
              <w:rPr>
                <w:sz w:val="24"/>
                <w:szCs w:val="24"/>
              </w:rPr>
            </w:pPr>
            <w:r>
              <w:rPr>
                <w:noProof/>
              </w:rPr>
              <w:object w:dxaOrig="1440" w:dyaOrig="1440" w14:anchorId="1790AD05">
                <v:shape id="_x0000_s1031" type="#_x0000_t75" style="position:absolute;left:0;text-align:left;margin-left:1.6pt;margin-top:20.25pt;width:108pt;height:108.75pt;z-index:251690239;mso-position-horizontal-relative:text;mso-position-vertical-relative:text;mso-width-relative:page;mso-height-relative:page">
                  <v:imagedata r:id="rId25" o:title=""/>
                  <w10:wrap type="square"/>
                </v:shape>
                <o:OLEObject Type="Embed" ProgID="PBrush" ShapeID="_x0000_s1031" DrawAspect="Content" ObjectID="_1447656244" r:id="rId26"/>
              </w:object>
            </w:r>
          </w:p>
          <w:p w14:paraId="3EF25044" w14:textId="77777777" w:rsidR="00B41BF4" w:rsidRDefault="00B41BF4" w:rsidP="000C7FB3">
            <w:pPr>
              <w:jc w:val="both"/>
            </w:pPr>
          </w:p>
          <w:p w14:paraId="70FE23E8" w14:textId="77777777" w:rsidR="00FC5DAD" w:rsidRPr="004E5F7F" w:rsidRDefault="00FC5DAD" w:rsidP="000C7FB3">
            <w:pPr>
              <w:jc w:val="both"/>
            </w:pPr>
          </w:p>
        </w:tc>
        <w:tc>
          <w:tcPr>
            <w:tcW w:w="6551" w:type="dxa"/>
            <w:shd w:val="clear" w:color="auto" w:fill="F2F2F2" w:themeFill="background1" w:themeFillShade="F2"/>
          </w:tcPr>
          <w:p w14:paraId="60B47F01" w14:textId="77777777" w:rsidR="00927F99" w:rsidRPr="001F0049" w:rsidRDefault="003C1CD4" w:rsidP="000C7FB3">
            <w:pPr>
              <w:jc w:val="both"/>
              <w:rPr>
                <w:sz w:val="20"/>
              </w:rPr>
            </w:pPr>
            <w:r w:rsidRPr="001F0049">
              <w:rPr>
                <w:sz w:val="20"/>
              </w:rPr>
              <w:t>Se entiende por acciones prejudiciales aquel conjunto de ac</w:t>
            </w:r>
            <w:r w:rsidR="00317BFB" w:rsidRPr="001F0049">
              <w:rPr>
                <w:sz w:val="20"/>
              </w:rPr>
              <w:t>tuaciones</w:t>
            </w:r>
            <w:r w:rsidRPr="001F0049">
              <w:rPr>
                <w:sz w:val="20"/>
              </w:rPr>
              <w:t xml:space="preserve">  que se desarrollan</w:t>
            </w:r>
            <w:r w:rsidR="00317BFB" w:rsidRPr="001F0049">
              <w:rPr>
                <w:sz w:val="20"/>
              </w:rPr>
              <w:t xml:space="preserve"> para tratar de resolver un conflicto </w:t>
            </w:r>
            <w:r w:rsidRPr="001F0049">
              <w:rPr>
                <w:sz w:val="20"/>
              </w:rPr>
              <w:t xml:space="preserve">antes de </w:t>
            </w:r>
            <w:r w:rsidR="00317BFB" w:rsidRPr="001F0049">
              <w:rPr>
                <w:sz w:val="20"/>
              </w:rPr>
              <w:t xml:space="preserve">someter tal diferencia o controversia a una </w:t>
            </w:r>
            <w:r w:rsidRPr="001F0049">
              <w:rPr>
                <w:sz w:val="20"/>
              </w:rPr>
              <w:t xml:space="preserve">decisión judicial </w:t>
            </w:r>
            <w:r w:rsidR="00317BFB" w:rsidRPr="001F0049">
              <w:rPr>
                <w:sz w:val="20"/>
              </w:rPr>
              <w:t>o arbitral</w:t>
            </w:r>
            <w:r w:rsidRPr="001F0049">
              <w:rPr>
                <w:sz w:val="20"/>
              </w:rPr>
              <w:t>, tales como los mecanismos alternativos de solución de conflictos y la conciliación prejudicial</w:t>
            </w:r>
            <w:r w:rsidR="00317BFB" w:rsidRPr="001F0049">
              <w:rPr>
                <w:sz w:val="20"/>
              </w:rPr>
              <w:t>.</w:t>
            </w:r>
          </w:p>
          <w:p w14:paraId="07792FCB" w14:textId="77777777" w:rsidR="00B41BF4" w:rsidRDefault="00B41BF4" w:rsidP="000C7FB3">
            <w:pPr>
              <w:jc w:val="both"/>
              <w:rPr>
                <w:b/>
                <w:sz w:val="20"/>
              </w:rPr>
            </w:pPr>
            <w:r w:rsidRPr="009B3F8D">
              <w:rPr>
                <w:b/>
                <w:sz w:val="20"/>
              </w:rPr>
              <w:t>Impacto:</w:t>
            </w:r>
          </w:p>
          <w:p w14:paraId="4F2B3DD6" w14:textId="77777777" w:rsidR="00B41BF4" w:rsidRPr="001F0049" w:rsidRDefault="00B41BF4" w:rsidP="003445A7">
            <w:pPr>
              <w:pStyle w:val="Prrafodelista"/>
              <w:numPr>
                <w:ilvl w:val="0"/>
                <w:numId w:val="15"/>
              </w:numPr>
              <w:jc w:val="both"/>
              <w:rPr>
                <w:sz w:val="20"/>
              </w:rPr>
            </w:pPr>
            <w:r w:rsidRPr="001F0049">
              <w:rPr>
                <w:sz w:val="20"/>
              </w:rPr>
              <w:t>Mejora en la Gestión del Ciclo de Defensa Jurídica</w:t>
            </w:r>
          </w:p>
          <w:p w14:paraId="48F01255" w14:textId="77777777" w:rsidR="00B41BF4" w:rsidRPr="001F0049" w:rsidRDefault="00B41BF4" w:rsidP="003445A7">
            <w:pPr>
              <w:pStyle w:val="Prrafodelista"/>
              <w:numPr>
                <w:ilvl w:val="0"/>
                <w:numId w:val="15"/>
              </w:numPr>
              <w:jc w:val="both"/>
              <w:rPr>
                <w:sz w:val="20"/>
              </w:rPr>
            </w:pPr>
            <w:r w:rsidRPr="001F0049">
              <w:rPr>
                <w:sz w:val="20"/>
              </w:rPr>
              <w:t>Fortalecimiento de la gestión de la información estratégica y del conocimiento</w:t>
            </w:r>
          </w:p>
          <w:p w14:paraId="3CFC2DAE" w14:textId="77777777" w:rsidR="00B41BF4" w:rsidRDefault="00B41BF4" w:rsidP="000C7FB3">
            <w:pPr>
              <w:jc w:val="both"/>
              <w:rPr>
                <w:b/>
                <w:sz w:val="20"/>
              </w:rPr>
            </w:pPr>
            <w:r>
              <w:rPr>
                <w:b/>
                <w:sz w:val="20"/>
              </w:rPr>
              <w:t xml:space="preserve">Metas 2017: </w:t>
            </w:r>
          </w:p>
          <w:p w14:paraId="31714E25" w14:textId="77777777" w:rsidR="00B41BF4" w:rsidRPr="001F0049" w:rsidRDefault="00B41BF4" w:rsidP="003445A7">
            <w:pPr>
              <w:pStyle w:val="Prrafodelista"/>
              <w:numPr>
                <w:ilvl w:val="0"/>
                <w:numId w:val="16"/>
              </w:numPr>
              <w:jc w:val="both"/>
              <w:rPr>
                <w:sz w:val="20"/>
              </w:rPr>
            </w:pPr>
            <w:r w:rsidRPr="001F0049">
              <w:rPr>
                <w:sz w:val="20"/>
              </w:rPr>
              <w:t>Incremento en la tasa de conciliación a 20%</w:t>
            </w:r>
          </w:p>
          <w:p w14:paraId="62CFA46D" w14:textId="77777777" w:rsidR="00B41BF4" w:rsidRPr="004E5F7F" w:rsidRDefault="00B41BF4" w:rsidP="003445A7">
            <w:pPr>
              <w:pStyle w:val="Prrafodelista"/>
              <w:numPr>
                <w:ilvl w:val="0"/>
                <w:numId w:val="16"/>
              </w:numPr>
              <w:jc w:val="both"/>
            </w:pPr>
            <w:r w:rsidRPr="001F0049">
              <w:rPr>
                <w:sz w:val="20"/>
              </w:rPr>
              <w:t>80% de las entidades del orden nacional con políticas, directrices e instructivos de conciliación rediseñados e implementados</w:t>
            </w:r>
          </w:p>
        </w:tc>
      </w:tr>
      <w:tr w:rsidR="00B41BF4" w:rsidRPr="004E5F7F" w14:paraId="4CDE8E54" w14:textId="77777777" w:rsidTr="00E46994">
        <w:tc>
          <w:tcPr>
            <w:tcW w:w="2408" w:type="dxa"/>
            <w:shd w:val="clear" w:color="auto" w:fill="95B3D7" w:themeFill="accent1" w:themeFillTint="99"/>
          </w:tcPr>
          <w:p w14:paraId="090697C2" w14:textId="77777777" w:rsidR="00B41BF4" w:rsidRPr="004E5F7F" w:rsidRDefault="00B41BF4" w:rsidP="000C7FB3">
            <w:pPr>
              <w:jc w:val="center"/>
              <w:rPr>
                <w:b/>
              </w:rPr>
            </w:pPr>
          </w:p>
          <w:p w14:paraId="5CF89629" w14:textId="77777777" w:rsidR="00B41BF4" w:rsidRPr="004E5F7F" w:rsidRDefault="00B41BF4" w:rsidP="000C7FB3">
            <w:pPr>
              <w:jc w:val="center"/>
              <w:rPr>
                <w:b/>
              </w:rPr>
            </w:pPr>
          </w:p>
          <w:p w14:paraId="47A594EF" w14:textId="77777777" w:rsidR="00B41BF4" w:rsidRPr="004E5F7F" w:rsidRDefault="00B41BF4" w:rsidP="000C7FB3">
            <w:pPr>
              <w:jc w:val="center"/>
              <w:rPr>
                <w:b/>
              </w:rPr>
            </w:pPr>
          </w:p>
          <w:p w14:paraId="364F8033" w14:textId="77777777" w:rsidR="00B41BF4" w:rsidRPr="004E5F7F" w:rsidRDefault="00B41BF4" w:rsidP="000C7FB3">
            <w:pPr>
              <w:jc w:val="center"/>
              <w:rPr>
                <w:b/>
              </w:rPr>
            </w:pPr>
          </w:p>
          <w:p w14:paraId="22F5E32B" w14:textId="77777777" w:rsidR="00B41BF4" w:rsidRPr="004E5F7F" w:rsidRDefault="00B41BF4" w:rsidP="000C7FB3">
            <w:pPr>
              <w:jc w:val="center"/>
              <w:rPr>
                <w:b/>
              </w:rPr>
            </w:pPr>
          </w:p>
          <w:p w14:paraId="4E18BCC4" w14:textId="77777777" w:rsidR="00B41BF4" w:rsidRPr="004E5F7F" w:rsidRDefault="00B41BF4" w:rsidP="000C7FB3">
            <w:pPr>
              <w:jc w:val="center"/>
              <w:rPr>
                <w:b/>
              </w:rPr>
            </w:pPr>
          </w:p>
          <w:p w14:paraId="260E845F" w14:textId="77777777" w:rsidR="0058715C" w:rsidRDefault="0058715C" w:rsidP="000C7FB3">
            <w:pPr>
              <w:jc w:val="center"/>
              <w:rPr>
                <w:b/>
              </w:rPr>
            </w:pPr>
          </w:p>
          <w:p w14:paraId="15F8E9D6" w14:textId="77777777" w:rsidR="0058715C" w:rsidRDefault="0058715C" w:rsidP="000C7FB3">
            <w:pPr>
              <w:jc w:val="center"/>
              <w:rPr>
                <w:b/>
              </w:rPr>
            </w:pPr>
          </w:p>
          <w:p w14:paraId="092F6880" w14:textId="77777777" w:rsidR="0058715C" w:rsidRDefault="0058715C" w:rsidP="000C7FB3">
            <w:pPr>
              <w:jc w:val="center"/>
              <w:rPr>
                <w:b/>
              </w:rPr>
            </w:pPr>
          </w:p>
          <w:p w14:paraId="7AC89AFD" w14:textId="77777777" w:rsidR="0058715C" w:rsidRDefault="0058715C" w:rsidP="000C7FB3">
            <w:pPr>
              <w:jc w:val="center"/>
              <w:rPr>
                <w:b/>
              </w:rPr>
            </w:pPr>
          </w:p>
          <w:p w14:paraId="7CEEC75B" w14:textId="77777777" w:rsidR="00B41BF4" w:rsidRPr="004E5F7F" w:rsidRDefault="00B41BF4" w:rsidP="000C7FB3">
            <w:pPr>
              <w:jc w:val="center"/>
              <w:rPr>
                <w:b/>
              </w:rPr>
            </w:pPr>
            <w:r w:rsidRPr="004E5F7F">
              <w:rPr>
                <w:b/>
              </w:rPr>
              <w:t>DIRECCI</w:t>
            </w:r>
            <w:r w:rsidR="007E129E">
              <w:rPr>
                <w:b/>
              </w:rPr>
              <w:t>Ó</w:t>
            </w:r>
            <w:r w:rsidRPr="004E5F7F">
              <w:rPr>
                <w:b/>
              </w:rPr>
              <w:t>N DE GESTIÓN DE INFORMACIÓN</w:t>
            </w:r>
          </w:p>
        </w:tc>
        <w:tc>
          <w:tcPr>
            <w:tcW w:w="6551" w:type="dxa"/>
          </w:tcPr>
          <w:p w14:paraId="6F62DA2D" w14:textId="77777777" w:rsidR="00B41BF4" w:rsidRDefault="00B41BF4" w:rsidP="003445A7">
            <w:pPr>
              <w:pStyle w:val="Prrafodelista"/>
              <w:numPr>
                <w:ilvl w:val="0"/>
                <w:numId w:val="17"/>
              </w:numPr>
              <w:jc w:val="both"/>
              <w:rPr>
                <w:sz w:val="20"/>
              </w:rPr>
            </w:pPr>
            <w:r w:rsidRPr="00A23109">
              <w:rPr>
                <w:b/>
                <w:sz w:val="20"/>
              </w:rPr>
              <w:t>Acción</w:t>
            </w:r>
            <w:r w:rsidRPr="00A23109">
              <w:rPr>
                <w:sz w:val="20"/>
              </w:rPr>
              <w:t xml:space="preserve">: </w:t>
            </w:r>
            <w:r w:rsidRPr="00A23109">
              <w:rPr>
                <w:b/>
                <w:i/>
                <w:sz w:val="20"/>
              </w:rPr>
              <w:t>Diseño y puesta en marcha de los módulos "Gestión de casos prejudiciales" y "Gestión de Comités de Conciliación"</w:t>
            </w:r>
            <w:r w:rsidRPr="00A23109">
              <w:rPr>
                <w:b/>
                <w:sz w:val="20"/>
              </w:rPr>
              <w:t>.</w:t>
            </w:r>
            <w:r w:rsidRPr="00A23109">
              <w:rPr>
                <w:sz w:val="20"/>
              </w:rPr>
              <w:t xml:space="preserve"> </w:t>
            </w:r>
            <w:r w:rsidRPr="00A23109">
              <w:rPr>
                <w:b/>
                <w:sz w:val="20"/>
              </w:rPr>
              <w:t>Objetivo</w:t>
            </w:r>
            <w:r w:rsidRPr="00A23109">
              <w:rPr>
                <w:sz w:val="20"/>
              </w:rPr>
              <w:t xml:space="preserve">: La DGI finaliza el diseño y la puesta en marcha de los módulos "Gestión de casos prejudiciales" y "Gestión de Comités de Conciliación" del Sistema Único de Gestión e Información de la Actividad Litigiosa del Estado, con el fin de contar con una herramienta que permita el aseguramiento y control de los datos de la gestión de casos en esta etapa, para la toma de decisiones estratégicas en los Comités de Conciliación de las diferentes entidades. Esto también con el fin de brindar una guía de análisis de casos para decidir sobre conciliación, acciones de repetición, llamamiento en garantía, pacto de cumplimiento y acuerdos de pago. </w:t>
            </w:r>
            <w:r w:rsidRPr="00A23109">
              <w:rPr>
                <w:b/>
                <w:sz w:val="20"/>
              </w:rPr>
              <w:t>Impacto:</w:t>
            </w:r>
            <w:r w:rsidRPr="00A23109">
              <w:rPr>
                <w:sz w:val="20"/>
              </w:rPr>
              <w:t xml:space="preserve"> Mejorar la calidad de la información para la toma de decisiones en sede de los comités de conciliación, realizando una adecuada detección de riesgos fiscales generados por controversias contra la Nación en su etapa prejudicial, así como la identificación de causas para la formulación de políticas de prevención.</w:t>
            </w:r>
          </w:p>
          <w:p w14:paraId="3E58F4BF" w14:textId="77777777" w:rsidR="00B41BF4" w:rsidRPr="00A23109" w:rsidRDefault="00B41BF4" w:rsidP="000C7FB3">
            <w:pPr>
              <w:pStyle w:val="Prrafodelista"/>
              <w:ind w:left="0"/>
              <w:jc w:val="both"/>
              <w:rPr>
                <w:sz w:val="20"/>
              </w:rPr>
            </w:pPr>
          </w:p>
          <w:p w14:paraId="75B21BB9" w14:textId="77777777" w:rsidR="00B41BF4" w:rsidRPr="004E5F7F" w:rsidRDefault="00B41BF4" w:rsidP="003445A7">
            <w:pPr>
              <w:pStyle w:val="Prrafodelista"/>
              <w:numPr>
                <w:ilvl w:val="0"/>
                <w:numId w:val="17"/>
              </w:numPr>
              <w:jc w:val="both"/>
              <w:rPr>
                <w:sz w:val="20"/>
              </w:rPr>
            </w:pPr>
            <w:r w:rsidRPr="00A23109">
              <w:rPr>
                <w:b/>
                <w:sz w:val="20"/>
              </w:rPr>
              <w:t>Acción</w:t>
            </w:r>
            <w:r w:rsidRPr="00A23109">
              <w:rPr>
                <w:sz w:val="20"/>
              </w:rPr>
              <w:t xml:space="preserve">: </w:t>
            </w:r>
            <w:r w:rsidRPr="00A23109">
              <w:rPr>
                <w:b/>
                <w:i/>
                <w:sz w:val="20"/>
              </w:rPr>
              <w:t>Elaboración de la encuesta de evaluación de gestión del ciclo de defensa jurídica.</w:t>
            </w:r>
            <w:r w:rsidRPr="00A23109">
              <w:rPr>
                <w:sz w:val="20"/>
              </w:rPr>
              <w:t xml:space="preserve"> </w:t>
            </w:r>
            <w:r w:rsidRPr="00A23109">
              <w:rPr>
                <w:b/>
                <w:sz w:val="20"/>
              </w:rPr>
              <w:t>Objetivo</w:t>
            </w:r>
            <w:r w:rsidRPr="00A23109">
              <w:rPr>
                <w:sz w:val="20"/>
              </w:rPr>
              <w:t xml:space="preserve">: La DGI elaboró la encuesta de evaluación de gestión del ciclo de defensa jurídica con el fin de identificar el grado de madurez de la gestión en materia de conciliación en las entidades públicas, mediante la identificación de políticas, directivas, criterios y procedimientos que hayan sido emitidos y adoptados por estas. </w:t>
            </w:r>
            <w:r w:rsidRPr="00A23109">
              <w:rPr>
                <w:b/>
                <w:sz w:val="20"/>
              </w:rPr>
              <w:t>Impacto:</w:t>
            </w:r>
            <w:r w:rsidRPr="00A23109">
              <w:rPr>
                <w:sz w:val="20"/>
              </w:rPr>
              <w:t xml:space="preserve"> Adoptar mecanismos enfocados a aumentar la efectividad de la conciliación y reducir la litigiosidad contra la Nación.</w:t>
            </w:r>
          </w:p>
        </w:tc>
      </w:tr>
      <w:tr w:rsidR="00B41BF4" w:rsidRPr="004E5F7F" w14:paraId="25962D1A" w14:textId="77777777" w:rsidTr="00E46994">
        <w:tc>
          <w:tcPr>
            <w:tcW w:w="2408" w:type="dxa"/>
            <w:shd w:val="clear" w:color="auto" w:fill="CCC0D9" w:themeFill="accent4" w:themeFillTint="66"/>
          </w:tcPr>
          <w:p w14:paraId="11070BC1" w14:textId="77777777" w:rsidR="0058715C" w:rsidRDefault="0058715C" w:rsidP="00E46994">
            <w:pPr>
              <w:jc w:val="center"/>
              <w:rPr>
                <w:b/>
              </w:rPr>
            </w:pPr>
          </w:p>
          <w:p w14:paraId="565A996B" w14:textId="77777777" w:rsidR="0058715C" w:rsidRDefault="0058715C" w:rsidP="00E46994">
            <w:pPr>
              <w:jc w:val="center"/>
              <w:rPr>
                <w:b/>
              </w:rPr>
            </w:pPr>
          </w:p>
          <w:p w14:paraId="6CBC8173" w14:textId="77777777" w:rsidR="0058715C" w:rsidRDefault="0058715C" w:rsidP="00E46994">
            <w:pPr>
              <w:jc w:val="center"/>
              <w:rPr>
                <w:b/>
              </w:rPr>
            </w:pPr>
          </w:p>
          <w:p w14:paraId="16BF01FB" w14:textId="77777777" w:rsidR="0058715C" w:rsidRDefault="0058715C" w:rsidP="00E46994">
            <w:pPr>
              <w:jc w:val="center"/>
              <w:rPr>
                <w:b/>
              </w:rPr>
            </w:pPr>
          </w:p>
          <w:p w14:paraId="38BBAE8F" w14:textId="77777777" w:rsidR="00B41BF4" w:rsidRPr="004E5F7F" w:rsidRDefault="00B41BF4" w:rsidP="00E46994">
            <w:pPr>
              <w:jc w:val="center"/>
            </w:pPr>
            <w:r>
              <w:rPr>
                <w:b/>
              </w:rPr>
              <w:t>DIRECCI</w:t>
            </w:r>
            <w:r w:rsidR="007E129E">
              <w:rPr>
                <w:b/>
              </w:rPr>
              <w:t>Ó</w:t>
            </w:r>
            <w:r>
              <w:rPr>
                <w:b/>
              </w:rPr>
              <w:t>N DE POLÍTICAS Y ESTR</w:t>
            </w:r>
            <w:r w:rsidR="007E129E">
              <w:rPr>
                <w:b/>
              </w:rPr>
              <w:t>Á</w:t>
            </w:r>
            <w:r>
              <w:rPr>
                <w:b/>
              </w:rPr>
              <w:t>TEGIAS</w:t>
            </w:r>
          </w:p>
        </w:tc>
        <w:tc>
          <w:tcPr>
            <w:tcW w:w="6551" w:type="dxa"/>
          </w:tcPr>
          <w:p w14:paraId="13247C84" w14:textId="77777777" w:rsidR="00B41BF4" w:rsidRPr="00E20C8A" w:rsidRDefault="00B41BF4" w:rsidP="003445A7">
            <w:pPr>
              <w:pStyle w:val="Prrafodelista"/>
              <w:numPr>
                <w:ilvl w:val="0"/>
                <w:numId w:val="17"/>
              </w:numPr>
              <w:jc w:val="both"/>
              <w:rPr>
                <w:sz w:val="20"/>
                <w:szCs w:val="20"/>
              </w:rPr>
            </w:pPr>
            <w:r>
              <w:rPr>
                <w:b/>
                <w:sz w:val="20"/>
                <w:szCs w:val="20"/>
              </w:rPr>
              <w:t>Proyecto - P</w:t>
            </w:r>
            <w:r w:rsidRPr="00E20C8A">
              <w:rPr>
                <w:b/>
                <w:sz w:val="20"/>
                <w:szCs w:val="20"/>
              </w:rPr>
              <w:t xml:space="preserve">autas mínimas para la gestión de la defensa de las nuevas entidades. Objetivo: </w:t>
            </w:r>
            <w:r w:rsidRPr="00E20C8A">
              <w:rPr>
                <w:sz w:val="20"/>
                <w:szCs w:val="20"/>
              </w:rPr>
              <w:t>construir y difundir a las entidades del orden nacional de reciente creación protocolos que permitan organizar su gestión de defensa, bajo directrices propuestas por la ANDJE, como medida preventiva para evitar que se comenta errores ya identificados.</w:t>
            </w:r>
            <w:r>
              <w:rPr>
                <w:sz w:val="20"/>
                <w:szCs w:val="20"/>
              </w:rPr>
              <w:t xml:space="preserve"> </w:t>
            </w:r>
            <w:r w:rsidRPr="00E20C8A">
              <w:rPr>
                <w:b/>
                <w:sz w:val="20"/>
                <w:szCs w:val="20"/>
              </w:rPr>
              <w:t>Impacto: c</w:t>
            </w:r>
            <w:r w:rsidRPr="00E20C8A">
              <w:rPr>
                <w:sz w:val="20"/>
                <w:szCs w:val="20"/>
              </w:rPr>
              <w:t xml:space="preserve">ontribuir a la prevención del daño antijurídico en 33 entidades de reciente creación. </w:t>
            </w:r>
            <w:r>
              <w:rPr>
                <w:b/>
                <w:sz w:val="20"/>
                <w:szCs w:val="20"/>
              </w:rPr>
              <w:t>(E</w:t>
            </w:r>
            <w:r w:rsidRPr="00E20C8A">
              <w:rPr>
                <w:b/>
                <w:sz w:val="20"/>
                <w:szCs w:val="20"/>
              </w:rPr>
              <w:t>n desarrollo)</w:t>
            </w:r>
            <w:r w:rsidRPr="00E20C8A">
              <w:rPr>
                <w:sz w:val="20"/>
                <w:szCs w:val="20"/>
              </w:rPr>
              <w:t>.</w:t>
            </w:r>
          </w:p>
          <w:p w14:paraId="79C9A240" w14:textId="77777777" w:rsidR="00B41BF4" w:rsidRDefault="00B41BF4" w:rsidP="000C7FB3">
            <w:pPr>
              <w:jc w:val="both"/>
              <w:rPr>
                <w:sz w:val="20"/>
                <w:szCs w:val="20"/>
              </w:rPr>
            </w:pPr>
          </w:p>
          <w:p w14:paraId="47626A56" w14:textId="77777777" w:rsidR="00B41BF4" w:rsidRPr="004E5F7F" w:rsidRDefault="00B41BF4" w:rsidP="003445A7">
            <w:pPr>
              <w:pStyle w:val="Prrafodelista"/>
              <w:numPr>
                <w:ilvl w:val="0"/>
                <w:numId w:val="17"/>
              </w:numPr>
              <w:jc w:val="both"/>
            </w:pPr>
            <w:r>
              <w:rPr>
                <w:b/>
                <w:sz w:val="20"/>
                <w:szCs w:val="20"/>
              </w:rPr>
              <w:lastRenderedPageBreak/>
              <w:t>Proyecto -</w:t>
            </w:r>
            <w:r w:rsidRPr="00E20C8A">
              <w:rPr>
                <w:b/>
                <w:sz w:val="20"/>
                <w:szCs w:val="20"/>
              </w:rPr>
              <w:t>Impacto de la nueva normatividad (CPACA y CGP) en el ejercicio de la defensa por parte de las entidades del Estado</w:t>
            </w:r>
            <w:r>
              <w:rPr>
                <w:b/>
                <w:sz w:val="20"/>
                <w:szCs w:val="20"/>
              </w:rPr>
              <w:t xml:space="preserve">. </w:t>
            </w:r>
            <w:r w:rsidRPr="00E20C8A">
              <w:rPr>
                <w:b/>
                <w:sz w:val="20"/>
                <w:szCs w:val="20"/>
              </w:rPr>
              <w:t>Objetivo:</w:t>
            </w:r>
            <w:r>
              <w:rPr>
                <w:b/>
                <w:sz w:val="20"/>
                <w:szCs w:val="20"/>
              </w:rPr>
              <w:t xml:space="preserve"> </w:t>
            </w:r>
            <w:r w:rsidRPr="00E20C8A">
              <w:rPr>
                <w:sz w:val="20"/>
                <w:szCs w:val="20"/>
              </w:rPr>
              <w:t>analizar cómo, la implementación y vigencia de las nuevas disposiciones procesales impacta en el ejercicio de la defensa desde la óptica  de las entidades del Estado, con el fin de proponer ajustes normativos, de gestión o definición de políticas públicas al respecto.</w:t>
            </w:r>
            <w:r>
              <w:rPr>
                <w:sz w:val="20"/>
                <w:szCs w:val="20"/>
              </w:rPr>
              <w:t xml:space="preserve"> </w:t>
            </w:r>
            <w:r w:rsidRPr="00E20C8A">
              <w:rPr>
                <w:b/>
                <w:sz w:val="20"/>
                <w:szCs w:val="20"/>
              </w:rPr>
              <w:t xml:space="preserve">Impacto: </w:t>
            </w:r>
            <w:r w:rsidRPr="00E20C8A">
              <w:rPr>
                <w:sz w:val="20"/>
                <w:szCs w:val="20"/>
              </w:rPr>
              <w:t>coadyuvar a la mejora en la gestión de la defensa de las entidades, y a la solución de problemas que afectan a las mismas a raíz de la puesta en marcha de la nueva normatividad</w:t>
            </w:r>
            <w:r>
              <w:rPr>
                <w:sz w:val="20"/>
                <w:szCs w:val="20"/>
              </w:rPr>
              <w:t xml:space="preserve">. </w:t>
            </w:r>
            <w:r>
              <w:rPr>
                <w:b/>
                <w:sz w:val="20"/>
                <w:szCs w:val="20"/>
              </w:rPr>
              <w:t>(E</w:t>
            </w:r>
            <w:r w:rsidRPr="00F31D7C">
              <w:rPr>
                <w:b/>
                <w:sz w:val="20"/>
                <w:szCs w:val="20"/>
              </w:rPr>
              <w:t>n desarrollo).</w:t>
            </w:r>
          </w:p>
        </w:tc>
      </w:tr>
      <w:tr w:rsidR="00B41BF4" w:rsidRPr="004E5F7F" w14:paraId="72A05BD9" w14:textId="77777777" w:rsidTr="0058715C">
        <w:tc>
          <w:tcPr>
            <w:tcW w:w="2408" w:type="dxa"/>
            <w:shd w:val="clear" w:color="auto" w:fill="33CCCC"/>
          </w:tcPr>
          <w:p w14:paraId="0D4CF958" w14:textId="77777777" w:rsidR="0058715C" w:rsidRDefault="0058715C" w:rsidP="0058715C">
            <w:pPr>
              <w:jc w:val="center"/>
              <w:rPr>
                <w:b/>
              </w:rPr>
            </w:pPr>
          </w:p>
          <w:p w14:paraId="5D064F9A" w14:textId="77777777" w:rsidR="0058715C" w:rsidRDefault="0058715C" w:rsidP="0058715C">
            <w:pPr>
              <w:jc w:val="center"/>
              <w:rPr>
                <w:b/>
              </w:rPr>
            </w:pPr>
          </w:p>
          <w:p w14:paraId="5628AE58" w14:textId="77777777" w:rsidR="0058715C" w:rsidRDefault="0058715C" w:rsidP="0058715C">
            <w:pPr>
              <w:jc w:val="center"/>
              <w:rPr>
                <w:b/>
              </w:rPr>
            </w:pPr>
          </w:p>
          <w:p w14:paraId="71B55948" w14:textId="77777777" w:rsidR="0058715C" w:rsidRDefault="0058715C" w:rsidP="0058715C">
            <w:pPr>
              <w:jc w:val="center"/>
              <w:rPr>
                <w:b/>
              </w:rPr>
            </w:pPr>
          </w:p>
          <w:p w14:paraId="552F0DE6" w14:textId="77777777" w:rsidR="0058715C" w:rsidRDefault="0058715C" w:rsidP="0058715C">
            <w:pPr>
              <w:jc w:val="center"/>
              <w:rPr>
                <w:b/>
              </w:rPr>
            </w:pPr>
          </w:p>
          <w:p w14:paraId="09351C61" w14:textId="77777777" w:rsidR="0058715C" w:rsidRDefault="0058715C" w:rsidP="0058715C">
            <w:pPr>
              <w:jc w:val="center"/>
              <w:rPr>
                <w:b/>
              </w:rPr>
            </w:pPr>
          </w:p>
          <w:p w14:paraId="558E7753" w14:textId="77777777" w:rsidR="0058715C" w:rsidRDefault="0058715C" w:rsidP="0058715C">
            <w:pPr>
              <w:jc w:val="center"/>
              <w:rPr>
                <w:b/>
              </w:rPr>
            </w:pPr>
          </w:p>
          <w:p w14:paraId="55848CEF" w14:textId="77777777" w:rsidR="0058715C" w:rsidRDefault="0058715C" w:rsidP="0058715C">
            <w:pPr>
              <w:jc w:val="center"/>
              <w:rPr>
                <w:b/>
              </w:rPr>
            </w:pPr>
          </w:p>
          <w:p w14:paraId="591F883C" w14:textId="77777777" w:rsidR="0058715C" w:rsidRDefault="0058715C" w:rsidP="0058715C">
            <w:pPr>
              <w:jc w:val="center"/>
              <w:rPr>
                <w:b/>
              </w:rPr>
            </w:pPr>
          </w:p>
          <w:p w14:paraId="29BA56B7" w14:textId="77777777" w:rsidR="00B41BF4" w:rsidRPr="00B41BF4" w:rsidRDefault="00B41BF4" w:rsidP="0058715C">
            <w:pPr>
              <w:jc w:val="center"/>
              <w:rPr>
                <w:b/>
              </w:rPr>
            </w:pPr>
            <w:r w:rsidRPr="00B41BF4">
              <w:rPr>
                <w:b/>
              </w:rPr>
              <w:t>DIRECCIÓN DE DEFENSA JURIDICA</w:t>
            </w:r>
          </w:p>
        </w:tc>
        <w:tc>
          <w:tcPr>
            <w:tcW w:w="6551" w:type="dxa"/>
          </w:tcPr>
          <w:p w14:paraId="6C9D7A0D" w14:textId="77777777" w:rsidR="00B41BF4" w:rsidRPr="00B41BF4" w:rsidRDefault="00B41BF4" w:rsidP="003445A7">
            <w:pPr>
              <w:numPr>
                <w:ilvl w:val="0"/>
                <w:numId w:val="17"/>
              </w:numPr>
              <w:jc w:val="both"/>
            </w:pPr>
            <w:r w:rsidRPr="00B41BF4">
              <w:rPr>
                <w:b/>
              </w:rPr>
              <w:t xml:space="preserve">Acción: </w:t>
            </w:r>
            <w:r w:rsidRPr="00B41BF4">
              <w:rPr>
                <w:b/>
                <w:i/>
              </w:rPr>
              <w:t xml:space="preserve">Participación con voz y voto en los comités de conciliación de las entidades.  </w:t>
            </w:r>
            <w:r w:rsidRPr="00B41BF4">
              <w:t xml:space="preserve">La DDJ realiza gestiones de coordinación en solicitudes de conciliación prejudiciales y extrajudiciales por un monto de 2.8 Billones de pesos y participó con voz y voto  en sesiones de comité de conciliación de acuerdo con los criterios definidos en Acuerdo 006. </w:t>
            </w:r>
          </w:p>
          <w:p w14:paraId="7060412D" w14:textId="77777777" w:rsidR="00B41BF4" w:rsidRPr="00B41BF4" w:rsidRDefault="00B41BF4" w:rsidP="003445A7">
            <w:pPr>
              <w:numPr>
                <w:ilvl w:val="0"/>
                <w:numId w:val="17"/>
              </w:numPr>
              <w:jc w:val="both"/>
            </w:pPr>
            <w:r w:rsidRPr="00B41BF4">
              <w:rPr>
                <w:b/>
              </w:rPr>
              <w:t xml:space="preserve">Acción: </w:t>
            </w:r>
            <w:r w:rsidRPr="00B41BF4">
              <w:rPr>
                <w:b/>
                <w:i/>
              </w:rPr>
              <w:t xml:space="preserve">Ejercer las funciones de mediador en conflictos que se originen entre entidades administrativas del orden nacional. </w:t>
            </w:r>
            <w:r w:rsidRPr="00B41BF4">
              <w:t>La Dirección de Defensa realizó gestiones de mediación en conflictos entre entidades del orden nacional que ascendían a los 314 Mil Millones</w:t>
            </w:r>
          </w:p>
          <w:p w14:paraId="37B15050" w14:textId="77777777" w:rsidR="00B41BF4" w:rsidRPr="00B41BF4" w:rsidRDefault="00B41BF4" w:rsidP="003445A7">
            <w:pPr>
              <w:numPr>
                <w:ilvl w:val="0"/>
                <w:numId w:val="17"/>
              </w:numPr>
              <w:jc w:val="both"/>
              <w:rPr>
                <w:i/>
              </w:rPr>
            </w:pPr>
            <w:r w:rsidRPr="00B41BF4">
              <w:rPr>
                <w:b/>
              </w:rPr>
              <w:t>Acción:</w:t>
            </w:r>
            <w:r w:rsidRPr="00B41BF4">
              <w:t xml:space="preserve"> </w:t>
            </w:r>
            <w:r w:rsidRPr="00B41BF4">
              <w:rPr>
                <w:i/>
              </w:rPr>
              <w:t xml:space="preserve">Diseño de protocolos para una efectiva defensa de los intereses del Estado, así como una efectiva promoción de los Mecanismos Alternativos de Solución de Conflictos.  </w:t>
            </w:r>
            <w:r w:rsidRPr="00B41BF4">
              <w:t xml:space="preserve">La DDJ ha elaborado protocolos para la promoción de la conciliación en temáticas como: Privación injusta de la libertad, enriquecimiento sin justa causa, lesiones  o muerte (daño) con arma de dotación, lesiones o muerte (daño) a reclusos y lesiones o muerte (daño) con vehículo oficial. </w:t>
            </w:r>
          </w:p>
          <w:p w14:paraId="2862D55F" w14:textId="77777777" w:rsidR="00B41BF4" w:rsidRPr="004E5F7F" w:rsidRDefault="00B41BF4" w:rsidP="000C7FB3">
            <w:pPr>
              <w:jc w:val="both"/>
            </w:pPr>
          </w:p>
        </w:tc>
      </w:tr>
    </w:tbl>
    <w:p w14:paraId="0CF098D5" w14:textId="77777777" w:rsidR="00B41BF4" w:rsidRPr="004E5F7F" w:rsidRDefault="00B41BF4" w:rsidP="000C7FB3">
      <w:pPr>
        <w:spacing w:after="0"/>
        <w:jc w:val="both"/>
      </w:pPr>
    </w:p>
    <w:p w14:paraId="0523E6BE" w14:textId="77777777" w:rsidR="00B41BF4" w:rsidRDefault="00B41BF4" w:rsidP="000C7FB3">
      <w:pPr>
        <w:spacing w:after="0"/>
        <w:jc w:val="both"/>
      </w:pPr>
    </w:p>
    <w:p w14:paraId="4D57C5D0" w14:textId="77777777" w:rsidR="00317BFB" w:rsidRDefault="00317BFB" w:rsidP="000C7FB3">
      <w:pPr>
        <w:spacing w:after="0"/>
        <w:jc w:val="both"/>
      </w:pPr>
    </w:p>
    <w:p w14:paraId="3B4C9EA5" w14:textId="77777777" w:rsidR="00317BFB" w:rsidRDefault="00317BFB" w:rsidP="000C7FB3">
      <w:pPr>
        <w:spacing w:after="0"/>
        <w:jc w:val="both"/>
      </w:pPr>
    </w:p>
    <w:p w14:paraId="056EF0DE" w14:textId="77777777" w:rsidR="00317BFB" w:rsidRDefault="00317BFB" w:rsidP="000C7FB3">
      <w:pPr>
        <w:spacing w:after="0"/>
        <w:jc w:val="both"/>
      </w:pPr>
    </w:p>
    <w:p w14:paraId="0C1B2EB9" w14:textId="77777777" w:rsidR="007E129E" w:rsidRDefault="007E129E" w:rsidP="000C7FB3">
      <w:pPr>
        <w:spacing w:after="0"/>
        <w:jc w:val="both"/>
      </w:pPr>
    </w:p>
    <w:p w14:paraId="09DC19EB" w14:textId="77777777" w:rsidR="007E129E" w:rsidRDefault="007E129E" w:rsidP="000C7FB3">
      <w:pPr>
        <w:spacing w:after="0"/>
        <w:jc w:val="both"/>
      </w:pPr>
    </w:p>
    <w:p w14:paraId="5BDB1460" w14:textId="77777777" w:rsidR="007E129E" w:rsidRDefault="007E129E" w:rsidP="000C7FB3">
      <w:pPr>
        <w:spacing w:after="0"/>
        <w:jc w:val="both"/>
      </w:pPr>
    </w:p>
    <w:p w14:paraId="7EA99611" w14:textId="77777777" w:rsidR="007E129E" w:rsidRDefault="007E129E" w:rsidP="000C7FB3">
      <w:pPr>
        <w:spacing w:after="0"/>
        <w:jc w:val="both"/>
      </w:pPr>
    </w:p>
    <w:p w14:paraId="4AEEF94B" w14:textId="77777777" w:rsidR="007E129E" w:rsidRDefault="007E129E" w:rsidP="000C7FB3">
      <w:pPr>
        <w:spacing w:after="0"/>
        <w:jc w:val="both"/>
      </w:pPr>
    </w:p>
    <w:p w14:paraId="4CDE9A79" w14:textId="77777777" w:rsidR="007E129E" w:rsidRDefault="007E129E" w:rsidP="000C7FB3">
      <w:pPr>
        <w:spacing w:after="0"/>
        <w:jc w:val="both"/>
      </w:pPr>
    </w:p>
    <w:p w14:paraId="12D8E0D6" w14:textId="77777777" w:rsidR="007E129E" w:rsidRDefault="007E129E" w:rsidP="000C7FB3">
      <w:pPr>
        <w:spacing w:after="0"/>
        <w:jc w:val="both"/>
      </w:pPr>
    </w:p>
    <w:p w14:paraId="25363328" w14:textId="77777777" w:rsidR="007E129E" w:rsidRDefault="007E129E" w:rsidP="000C7FB3">
      <w:pPr>
        <w:spacing w:after="0"/>
        <w:jc w:val="both"/>
      </w:pPr>
    </w:p>
    <w:p w14:paraId="2B554EF6" w14:textId="77777777" w:rsidR="007E129E" w:rsidRDefault="007E129E" w:rsidP="000C7FB3">
      <w:pPr>
        <w:spacing w:after="0"/>
        <w:jc w:val="both"/>
      </w:pPr>
    </w:p>
    <w:p w14:paraId="02C30D83" w14:textId="77777777" w:rsidR="007E129E" w:rsidRDefault="007E129E" w:rsidP="000C7FB3">
      <w:pPr>
        <w:spacing w:after="0"/>
        <w:jc w:val="both"/>
      </w:pPr>
    </w:p>
    <w:p w14:paraId="0FE9FB69" w14:textId="77777777" w:rsidR="000F3F40" w:rsidRPr="000F3F40" w:rsidRDefault="000F3F40" w:rsidP="000F3F40">
      <w:pPr>
        <w:spacing w:after="0"/>
        <w:jc w:val="center"/>
        <w:rPr>
          <w:b/>
          <w:sz w:val="22"/>
          <w:szCs w:val="22"/>
        </w:rPr>
      </w:pPr>
      <w:r w:rsidRPr="000F3F40">
        <w:rPr>
          <w:b/>
          <w:sz w:val="22"/>
          <w:szCs w:val="22"/>
        </w:rPr>
        <w:lastRenderedPageBreak/>
        <w:t xml:space="preserve">Tabla </w:t>
      </w:r>
      <w:r w:rsidR="007E129E">
        <w:rPr>
          <w:b/>
          <w:sz w:val="22"/>
          <w:szCs w:val="22"/>
        </w:rPr>
        <w:t>1</w:t>
      </w:r>
      <w:r w:rsidR="00A33517">
        <w:rPr>
          <w:b/>
          <w:sz w:val="22"/>
          <w:szCs w:val="22"/>
        </w:rPr>
        <w:t>7</w:t>
      </w:r>
      <w:r w:rsidRPr="000F3F40">
        <w:rPr>
          <w:b/>
          <w:sz w:val="22"/>
          <w:szCs w:val="22"/>
        </w:rPr>
        <w:t xml:space="preserve">: </w:t>
      </w:r>
      <w:r w:rsidRPr="00E46994">
        <w:rPr>
          <w:b/>
          <w:sz w:val="22"/>
          <w:szCs w:val="22"/>
        </w:rPr>
        <w:t>El proceso judicial</w:t>
      </w:r>
      <w:r w:rsidR="005C2E83">
        <w:rPr>
          <w:b/>
          <w:sz w:val="22"/>
          <w:szCs w:val="22"/>
        </w:rPr>
        <w:t xml:space="preserve"> dentro del ciclo de defensa</w:t>
      </w:r>
    </w:p>
    <w:p w14:paraId="1E5EB40E" w14:textId="77777777" w:rsidR="00B41BF4" w:rsidRPr="004E5F7F" w:rsidRDefault="00B41BF4" w:rsidP="000C7FB3">
      <w:pPr>
        <w:spacing w:after="0"/>
        <w:jc w:val="both"/>
      </w:pPr>
    </w:p>
    <w:tbl>
      <w:tblPr>
        <w:tblStyle w:val="Tablaconcuadrcula"/>
        <w:tblW w:w="8959" w:type="dxa"/>
        <w:tblInd w:w="108" w:type="dxa"/>
        <w:tblLook w:val="04A0" w:firstRow="1" w:lastRow="0" w:firstColumn="1" w:lastColumn="0" w:noHBand="0" w:noVBand="1"/>
      </w:tblPr>
      <w:tblGrid>
        <w:gridCol w:w="2466"/>
        <w:gridCol w:w="6493"/>
      </w:tblGrid>
      <w:tr w:rsidR="00B41BF4" w:rsidRPr="004E5F7F" w14:paraId="360F0F26" w14:textId="77777777" w:rsidTr="00FC5DAD">
        <w:trPr>
          <w:trHeight w:val="1702"/>
        </w:trPr>
        <w:tc>
          <w:tcPr>
            <w:tcW w:w="2466" w:type="dxa"/>
          </w:tcPr>
          <w:p w14:paraId="322E3D73" w14:textId="77777777" w:rsidR="00B41BF4" w:rsidRPr="004E5F7F" w:rsidRDefault="008349EC" w:rsidP="000C7FB3">
            <w:pPr>
              <w:jc w:val="both"/>
            </w:pPr>
            <w:r>
              <w:rPr>
                <w:noProof/>
              </w:rPr>
              <w:object w:dxaOrig="1440" w:dyaOrig="1440" w14:anchorId="244A5057">
                <v:shape id="_x0000_s1032" type="#_x0000_t75" style="position:absolute;left:0;text-align:left;margin-left:-.75pt;margin-top:62.3pt;width:112.5pt;height:113.25pt;z-index:251692287;mso-position-horizontal-relative:text;mso-position-vertical-relative:text;mso-width-relative:page;mso-height-relative:page">
                  <v:imagedata r:id="rId27" o:title=""/>
                  <w10:wrap type="square"/>
                </v:shape>
                <o:OLEObject Type="Embed" ProgID="PBrush" ShapeID="_x0000_s1032" DrawAspect="Content" ObjectID="_1447656245" r:id="rId28"/>
              </w:object>
            </w:r>
          </w:p>
        </w:tc>
        <w:tc>
          <w:tcPr>
            <w:tcW w:w="6493" w:type="dxa"/>
            <w:shd w:val="clear" w:color="auto" w:fill="F2F2F2" w:themeFill="background1" w:themeFillShade="F2"/>
          </w:tcPr>
          <w:p w14:paraId="32F83FBE" w14:textId="77777777" w:rsidR="00927F99" w:rsidRPr="00E46994" w:rsidRDefault="003C1CD4" w:rsidP="00927F99">
            <w:pPr>
              <w:jc w:val="both"/>
              <w:rPr>
                <w:b/>
                <w:sz w:val="20"/>
                <w:szCs w:val="20"/>
                <w:lang w:val="es-CO"/>
              </w:rPr>
            </w:pPr>
            <w:r w:rsidRPr="00E46994">
              <w:rPr>
                <w:b/>
                <w:iCs/>
                <w:sz w:val="20"/>
                <w:szCs w:val="20"/>
                <w:lang w:val="es-CO"/>
              </w:rPr>
              <w:t xml:space="preserve">Por proceso judicial </w:t>
            </w:r>
            <w:r w:rsidR="00317BFB">
              <w:rPr>
                <w:b/>
                <w:iCs/>
                <w:sz w:val="20"/>
                <w:szCs w:val="20"/>
                <w:lang w:val="es-CO"/>
              </w:rPr>
              <w:t xml:space="preserve">es el conjunto de actuaciones </w:t>
            </w:r>
            <w:r w:rsidR="00927F99" w:rsidRPr="00E46994">
              <w:rPr>
                <w:b/>
                <w:iCs/>
                <w:sz w:val="20"/>
                <w:szCs w:val="20"/>
                <w:lang w:val="es-CO"/>
              </w:rPr>
              <w:t xml:space="preserve">que se producen desde el momento que se solicita </w:t>
            </w:r>
            <w:r w:rsidR="00317BFB">
              <w:rPr>
                <w:b/>
                <w:iCs/>
                <w:sz w:val="20"/>
                <w:szCs w:val="20"/>
                <w:lang w:val="es-CO"/>
              </w:rPr>
              <w:t>a un juez o</w:t>
            </w:r>
            <w:r w:rsidR="00927F99" w:rsidRPr="00E46994">
              <w:rPr>
                <w:b/>
                <w:iCs/>
                <w:sz w:val="20"/>
                <w:szCs w:val="20"/>
                <w:lang w:val="es-CO"/>
              </w:rPr>
              <w:t xml:space="preserve"> tribunal la </w:t>
            </w:r>
            <w:r w:rsidR="000F3F40" w:rsidRPr="00E46994">
              <w:rPr>
                <w:b/>
                <w:iCs/>
                <w:sz w:val="20"/>
                <w:szCs w:val="20"/>
                <w:lang w:val="es-CO"/>
              </w:rPr>
              <w:t>r</w:t>
            </w:r>
            <w:r w:rsidR="00927F99" w:rsidRPr="00E46994">
              <w:rPr>
                <w:b/>
                <w:iCs/>
                <w:sz w:val="20"/>
                <w:szCs w:val="20"/>
                <w:lang w:val="es-CO"/>
              </w:rPr>
              <w:t xml:space="preserve">esolución de una controversia </w:t>
            </w:r>
            <w:r w:rsidR="000F3F40" w:rsidRPr="00E46994">
              <w:rPr>
                <w:b/>
                <w:iCs/>
                <w:sz w:val="20"/>
                <w:szCs w:val="20"/>
                <w:lang w:val="es-CO"/>
              </w:rPr>
              <w:t>mediante una decisión Judicial.</w:t>
            </w:r>
            <w:r w:rsidR="00317BFB">
              <w:rPr>
                <w:b/>
                <w:iCs/>
                <w:sz w:val="20"/>
                <w:szCs w:val="20"/>
                <w:lang w:val="es-CO"/>
              </w:rPr>
              <w:t xml:space="preserve"> Aplica también en el caso de la justicia arbitral. </w:t>
            </w:r>
          </w:p>
          <w:p w14:paraId="78B22321" w14:textId="77777777" w:rsidR="00B41BF4" w:rsidRPr="00E46994" w:rsidRDefault="00B41BF4" w:rsidP="000C7FB3">
            <w:pPr>
              <w:jc w:val="both"/>
              <w:rPr>
                <w:sz w:val="20"/>
                <w:lang w:val="es-CO"/>
              </w:rPr>
            </w:pPr>
          </w:p>
          <w:p w14:paraId="64FA9149" w14:textId="77777777" w:rsidR="00B41BF4" w:rsidRDefault="00B41BF4" w:rsidP="000C7FB3">
            <w:pPr>
              <w:jc w:val="both"/>
              <w:rPr>
                <w:b/>
                <w:sz w:val="20"/>
              </w:rPr>
            </w:pPr>
            <w:r w:rsidRPr="009B3F8D">
              <w:rPr>
                <w:b/>
                <w:sz w:val="20"/>
              </w:rPr>
              <w:t>Impacto:</w:t>
            </w:r>
          </w:p>
          <w:p w14:paraId="7BA497B9" w14:textId="77777777" w:rsidR="00B41BF4" w:rsidRDefault="00B41BF4" w:rsidP="003445A7">
            <w:pPr>
              <w:pStyle w:val="Prrafodelista"/>
              <w:numPr>
                <w:ilvl w:val="0"/>
                <w:numId w:val="18"/>
              </w:numPr>
              <w:jc w:val="both"/>
              <w:rPr>
                <w:b/>
                <w:sz w:val="20"/>
              </w:rPr>
            </w:pPr>
            <w:r>
              <w:rPr>
                <w:b/>
                <w:sz w:val="20"/>
              </w:rPr>
              <w:t>Mejora en la Gestión del Ciclo de Defensa Jurídica</w:t>
            </w:r>
          </w:p>
          <w:p w14:paraId="745D9E39" w14:textId="77777777" w:rsidR="00B41BF4" w:rsidRPr="009B3F8D" w:rsidRDefault="00B41BF4" w:rsidP="003445A7">
            <w:pPr>
              <w:pStyle w:val="Prrafodelista"/>
              <w:numPr>
                <w:ilvl w:val="0"/>
                <w:numId w:val="18"/>
              </w:numPr>
              <w:jc w:val="both"/>
              <w:rPr>
                <w:b/>
                <w:sz w:val="20"/>
              </w:rPr>
            </w:pPr>
            <w:r>
              <w:rPr>
                <w:b/>
                <w:sz w:val="20"/>
              </w:rPr>
              <w:t>Fortalecimiento de la gestión de la información estratégica y del conocimiento</w:t>
            </w:r>
          </w:p>
          <w:p w14:paraId="468BE106" w14:textId="77777777" w:rsidR="00B41BF4" w:rsidRDefault="00B41BF4" w:rsidP="000C7FB3">
            <w:pPr>
              <w:jc w:val="both"/>
              <w:rPr>
                <w:b/>
                <w:sz w:val="20"/>
              </w:rPr>
            </w:pPr>
          </w:p>
          <w:p w14:paraId="7F4487CE" w14:textId="77777777" w:rsidR="00B41BF4" w:rsidRDefault="00B41BF4" w:rsidP="000C7FB3">
            <w:pPr>
              <w:jc w:val="both"/>
              <w:rPr>
                <w:b/>
                <w:sz w:val="20"/>
              </w:rPr>
            </w:pPr>
            <w:r>
              <w:rPr>
                <w:b/>
                <w:sz w:val="20"/>
              </w:rPr>
              <w:t xml:space="preserve">Metas 2017: </w:t>
            </w:r>
          </w:p>
          <w:p w14:paraId="031AE7DF" w14:textId="77777777" w:rsidR="00B41BF4" w:rsidRPr="00E35227" w:rsidRDefault="00B41BF4" w:rsidP="003445A7">
            <w:pPr>
              <w:pStyle w:val="Prrafodelista"/>
              <w:numPr>
                <w:ilvl w:val="0"/>
                <w:numId w:val="19"/>
              </w:numPr>
              <w:jc w:val="both"/>
              <w:rPr>
                <w:sz w:val="20"/>
              </w:rPr>
            </w:pPr>
            <w:r w:rsidRPr="00E35227">
              <w:rPr>
                <w:sz w:val="20"/>
              </w:rPr>
              <w:t xml:space="preserve">Disminución en el valor de las condenas de las 20 entidades más demandadas </w:t>
            </w:r>
          </w:p>
          <w:p w14:paraId="3A3DF735" w14:textId="77777777" w:rsidR="00B41BF4" w:rsidRPr="00E35227" w:rsidRDefault="00B41BF4" w:rsidP="003445A7">
            <w:pPr>
              <w:pStyle w:val="Prrafodelista"/>
              <w:numPr>
                <w:ilvl w:val="0"/>
                <w:numId w:val="19"/>
              </w:numPr>
              <w:jc w:val="both"/>
              <w:rPr>
                <w:sz w:val="20"/>
              </w:rPr>
            </w:pPr>
            <w:r w:rsidRPr="00E35227">
              <w:rPr>
                <w:sz w:val="20"/>
              </w:rPr>
              <w:t>Reducir el flujo anual de pagos por sentencias de todas las entidades del orden nacional</w:t>
            </w:r>
          </w:p>
          <w:p w14:paraId="764171A3" w14:textId="77777777" w:rsidR="00B41BF4" w:rsidRPr="00E35227" w:rsidRDefault="00B41BF4" w:rsidP="003445A7">
            <w:pPr>
              <w:pStyle w:val="Prrafodelista"/>
              <w:numPr>
                <w:ilvl w:val="0"/>
                <w:numId w:val="19"/>
              </w:numPr>
              <w:jc w:val="both"/>
              <w:rPr>
                <w:sz w:val="20"/>
              </w:rPr>
            </w:pPr>
            <w:r w:rsidRPr="00E35227">
              <w:rPr>
                <w:sz w:val="20"/>
              </w:rPr>
              <w:t>Incremento en la tasa de éxito de las 20 entidades más demandadas en 9% porcentuales (36%).</w:t>
            </w:r>
          </w:p>
          <w:p w14:paraId="47B172B3" w14:textId="77777777" w:rsidR="00B41BF4" w:rsidRPr="00E35227" w:rsidRDefault="00B41BF4" w:rsidP="003445A7">
            <w:pPr>
              <w:pStyle w:val="Prrafodelista"/>
              <w:numPr>
                <w:ilvl w:val="0"/>
                <w:numId w:val="19"/>
              </w:numPr>
              <w:jc w:val="both"/>
              <w:rPr>
                <w:sz w:val="20"/>
              </w:rPr>
            </w:pPr>
            <w:r w:rsidRPr="00E35227">
              <w:rPr>
                <w:sz w:val="20"/>
              </w:rPr>
              <w:t>80% de las entidades del orden nacional con políticas integrales de defensa jurídica rediseñadas e implementadas</w:t>
            </w:r>
          </w:p>
          <w:p w14:paraId="7D8A19DC" w14:textId="77777777" w:rsidR="00B41BF4" w:rsidRPr="004E5F7F" w:rsidRDefault="00B41BF4" w:rsidP="000C7FB3">
            <w:pPr>
              <w:jc w:val="both"/>
            </w:pPr>
          </w:p>
        </w:tc>
      </w:tr>
      <w:tr w:rsidR="00B41BF4" w:rsidRPr="004E5F7F" w14:paraId="73BEAD7A" w14:textId="77777777" w:rsidTr="00E46994">
        <w:tc>
          <w:tcPr>
            <w:tcW w:w="2466" w:type="dxa"/>
            <w:shd w:val="clear" w:color="auto" w:fill="B8CCE4" w:themeFill="accent1" w:themeFillTint="66"/>
          </w:tcPr>
          <w:p w14:paraId="7AC4F2F4" w14:textId="77777777" w:rsidR="00B41BF4" w:rsidRPr="004E5F7F" w:rsidRDefault="00B41BF4" w:rsidP="000C7FB3">
            <w:pPr>
              <w:jc w:val="center"/>
              <w:rPr>
                <w:b/>
              </w:rPr>
            </w:pPr>
          </w:p>
          <w:p w14:paraId="70A965C9" w14:textId="77777777" w:rsidR="00B41BF4" w:rsidRPr="004E5F7F" w:rsidRDefault="00B41BF4" w:rsidP="000C7FB3">
            <w:pPr>
              <w:jc w:val="center"/>
              <w:rPr>
                <w:b/>
              </w:rPr>
            </w:pPr>
          </w:p>
          <w:p w14:paraId="2DB2C6A2" w14:textId="77777777" w:rsidR="00B41BF4" w:rsidRPr="004E5F7F" w:rsidRDefault="00B41BF4" w:rsidP="000C7FB3">
            <w:pPr>
              <w:jc w:val="center"/>
              <w:rPr>
                <w:b/>
              </w:rPr>
            </w:pPr>
          </w:p>
          <w:p w14:paraId="3E7AFD02" w14:textId="77777777" w:rsidR="00B41BF4" w:rsidRPr="004E5F7F" w:rsidRDefault="00B41BF4" w:rsidP="000C7FB3">
            <w:pPr>
              <w:jc w:val="center"/>
              <w:rPr>
                <w:b/>
              </w:rPr>
            </w:pPr>
          </w:p>
          <w:p w14:paraId="0F490C7F" w14:textId="77777777" w:rsidR="00B41BF4" w:rsidRPr="004E5F7F" w:rsidRDefault="00B41BF4" w:rsidP="000C7FB3">
            <w:pPr>
              <w:jc w:val="center"/>
              <w:rPr>
                <w:b/>
              </w:rPr>
            </w:pPr>
          </w:p>
          <w:p w14:paraId="007124A7" w14:textId="77777777" w:rsidR="00B41BF4" w:rsidRPr="004E5F7F" w:rsidRDefault="00B41BF4" w:rsidP="000C7FB3">
            <w:pPr>
              <w:jc w:val="center"/>
              <w:rPr>
                <w:b/>
              </w:rPr>
            </w:pPr>
          </w:p>
          <w:p w14:paraId="0F97DD35" w14:textId="77777777" w:rsidR="0058715C" w:rsidRDefault="0058715C" w:rsidP="000C7FB3">
            <w:pPr>
              <w:jc w:val="center"/>
              <w:rPr>
                <w:b/>
              </w:rPr>
            </w:pPr>
          </w:p>
          <w:p w14:paraId="500DF91F" w14:textId="77777777" w:rsidR="0058715C" w:rsidRDefault="0058715C" w:rsidP="000C7FB3">
            <w:pPr>
              <w:jc w:val="center"/>
              <w:rPr>
                <w:b/>
              </w:rPr>
            </w:pPr>
          </w:p>
          <w:p w14:paraId="431AE873" w14:textId="77777777" w:rsidR="0058715C" w:rsidRDefault="0058715C" w:rsidP="000C7FB3">
            <w:pPr>
              <w:jc w:val="center"/>
              <w:rPr>
                <w:b/>
              </w:rPr>
            </w:pPr>
          </w:p>
          <w:p w14:paraId="7A545F30" w14:textId="77777777" w:rsidR="0058715C" w:rsidRDefault="0058715C" w:rsidP="000C7FB3">
            <w:pPr>
              <w:jc w:val="center"/>
              <w:rPr>
                <w:b/>
              </w:rPr>
            </w:pPr>
          </w:p>
          <w:p w14:paraId="11D4A55C" w14:textId="77777777" w:rsidR="0058715C" w:rsidRDefault="0058715C" w:rsidP="000C7FB3">
            <w:pPr>
              <w:jc w:val="center"/>
              <w:rPr>
                <w:b/>
              </w:rPr>
            </w:pPr>
          </w:p>
          <w:p w14:paraId="25D863B6" w14:textId="77777777" w:rsidR="0058715C" w:rsidRDefault="0058715C" w:rsidP="000C7FB3">
            <w:pPr>
              <w:jc w:val="center"/>
              <w:rPr>
                <w:b/>
              </w:rPr>
            </w:pPr>
          </w:p>
          <w:p w14:paraId="7975F3D0" w14:textId="77777777" w:rsidR="00B41BF4" w:rsidRPr="004E5F7F" w:rsidRDefault="00B41BF4" w:rsidP="000C7FB3">
            <w:pPr>
              <w:jc w:val="center"/>
              <w:rPr>
                <w:b/>
              </w:rPr>
            </w:pPr>
            <w:r w:rsidRPr="004E5F7F">
              <w:rPr>
                <w:b/>
              </w:rPr>
              <w:t>DIRECCION DE GESTIÓN DE INFORMACIÓN</w:t>
            </w:r>
          </w:p>
        </w:tc>
        <w:tc>
          <w:tcPr>
            <w:tcW w:w="6493" w:type="dxa"/>
          </w:tcPr>
          <w:p w14:paraId="3D176355" w14:textId="77777777" w:rsidR="00B41BF4" w:rsidRDefault="00B41BF4" w:rsidP="003445A7">
            <w:pPr>
              <w:pStyle w:val="Prrafodelista"/>
              <w:numPr>
                <w:ilvl w:val="0"/>
                <w:numId w:val="20"/>
              </w:numPr>
              <w:ind w:left="403" w:hanging="43"/>
              <w:jc w:val="both"/>
              <w:rPr>
                <w:sz w:val="20"/>
              </w:rPr>
            </w:pPr>
            <w:r w:rsidRPr="00AA12B6">
              <w:rPr>
                <w:b/>
                <w:sz w:val="20"/>
              </w:rPr>
              <w:t xml:space="preserve">Acción: </w:t>
            </w:r>
            <w:r w:rsidRPr="00AA12B6">
              <w:rPr>
                <w:b/>
                <w:i/>
                <w:sz w:val="20"/>
              </w:rPr>
              <w:t>Diseño y puesta en marcha de los módulos "Gestión de Procesos Judiciales " y "Módulo de Jurisprudencia y Doctrina".</w:t>
            </w:r>
            <w:r w:rsidRPr="00AA12B6">
              <w:rPr>
                <w:b/>
                <w:sz w:val="20"/>
              </w:rPr>
              <w:t xml:space="preserve"> Objetivo: </w:t>
            </w:r>
            <w:r w:rsidRPr="00AA12B6">
              <w:rPr>
                <w:sz w:val="20"/>
              </w:rPr>
              <w:t xml:space="preserve">La DGI trabaja en el diseño y puesta en marcha de los módulos "Gestión de Procesos Judiciales " y "Módulo de Jurisprudencia y Doctrina" del Sistema Único de Gestión e Información de la Actividad Litigiosa del Estado, que se constituyen en una herramienta que permita el aseguramiento y control de la gestión de casos en esta etapa para la toma de decisiones estratégicas en la defensa judicial de las diferentes entidades, y  brindar insumos para fortalecer las estrategias de defensa a través de información de líneas y tendencias jurisprudenciales. </w:t>
            </w:r>
            <w:r w:rsidRPr="00AA12B6">
              <w:rPr>
                <w:b/>
                <w:sz w:val="20"/>
              </w:rPr>
              <w:t xml:space="preserve">Impacto: </w:t>
            </w:r>
            <w:r w:rsidRPr="00AA12B6">
              <w:rPr>
                <w:sz w:val="20"/>
              </w:rPr>
              <w:t>Mejorar la calidad de la información para la toma de decisiones acordes al comportamiento jurisprudencial, realizando una adecuada detección de riesgos fiscales generados por controversias contra la Nación en su etapa judicial, con el fin de estructurar y enfocar la defensa de la entidad hacia la protección de los recursos de la Nación, así como la identificación de causas para la formulación de políticas de prevención.</w:t>
            </w:r>
          </w:p>
          <w:p w14:paraId="454A7597" w14:textId="77777777" w:rsidR="00B41BF4" w:rsidRPr="00AA12B6" w:rsidRDefault="00B41BF4" w:rsidP="00E35227">
            <w:pPr>
              <w:ind w:left="403" w:hanging="43"/>
              <w:jc w:val="both"/>
              <w:rPr>
                <w:sz w:val="20"/>
              </w:rPr>
            </w:pPr>
          </w:p>
          <w:p w14:paraId="548E0728" w14:textId="77777777" w:rsidR="00B41BF4" w:rsidRDefault="00B41BF4" w:rsidP="003445A7">
            <w:pPr>
              <w:pStyle w:val="Prrafodelista"/>
              <w:numPr>
                <w:ilvl w:val="0"/>
                <w:numId w:val="20"/>
              </w:numPr>
              <w:ind w:left="403" w:hanging="43"/>
              <w:jc w:val="both"/>
              <w:rPr>
                <w:sz w:val="20"/>
              </w:rPr>
            </w:pPr>
            <w:r w:rsidRPr="00AA12B6">
              <w:rPr>
                <w:b/>
                <w:sz w:val="20"/>
              </w:rPr>
              <w:t xml:space="preserve">Acción: </w:t>
            </w:r>
            <w:r w:rsidRPr="00AA12B6">
              <w:rPr>
                <w:b/>
                <w:i/>
                <w:sz w:val="20"/>
              </w:rPr>
              <w:t>Elaboración de la encuesta de evaluación de gestión del ciclo de defensa jurídica.</w:t>
            </w:r>
            <w:r w:rsidRPr="00AA12B6">
              <w:rPr>
                <w:b/>
                <w:sz w:val="20"/>
              </w:rPr>
              <w:t xml:space="preserve"> Objetivo:</w:t>
            </w:r>
            <w:r w:rsidRPr="00AA12B6">
              <w:rPr>
                <w:sz w:val="20"/>
              </w:rPr>
              <w:t xml:space="preserve"> La encuesta de evaluación de gestión del ciclo de defensa jurídica realizada por la DGI permite identificar en esta etapa el grado de madurez de la gestión realizada por las entidades públicas en materia de defensa jurídica. </w:t>
            </w:r>
            <w:r w:rsidRPr="00AA12B6">
              <w:rPr>
                <w:b/>
                <w:sz w:val="20"/>
              </w:rPr>
              <w:t xml:space="preserve">Impacto: </w:t>
            </w:r>
            <w:r w:rsidRPr="00AA12B6">
              <w:rPr>
                <w:sz w:val="20"/>
              </w:rPr>
              <w:t>Adoptar mecanismos (políticas, estrategias y lineamientos) enfocados a aumentar la efectividad de su defensa e impactar su tasa de éxito procesal.</w:t>
            </w:r>
          </w:p>
          <w:p w14:paraId="67B5798C" w14:textId="77777777" w:rsidR="00B41BF4" w:rsidRPr="00AA12B6" w:rsidRDefault="00B41BF4" w:rsidP="00E35227">
            <w:pPr>
              <w:ind w:left="403" w:hanging="43"/>
              <w:jc w:val="both"/>
              <w:rPr>
                <w:sz w:val="20"/>
              </w:rPr>
            </w:pPr>
          </w:p>
          <w:p w14:paraId="3804DEE7" w14:textId="77777777" w:rsidR="00B41BF4" w:rsidRDefault="00B41BF4" w:rsidP="003445A7">
            <w:pPr>
              <w:pStyle w:val="Prrafodelista"/>
              <w:numPr>
                <w:ilvl w:val="0"/>
                <w:numId w:val="20"/>
              </w:numPr>
              <w:ind w:left="403" w:hanging="43"/>
              <w:jc w:val="both"/>
              <w:rPr>
                <w:sz w:val="20"/>
              </w:rPr>
            </w:pPr>
            <w:r w:rsidRPr="00AA12B6">
              <w:rPr>
                <w:b/>
                <w:sz w:val="20"/>
              </w:rPr>
              <w:t xml:space="preserve">Acción: </w:t>
            </w:r>
            <w:r w:rsidRPr="00AA12B6">
              <w:rPr>
                <w:b/>
                <w:i/>
                <w:sz w:val="20"/>
              </w:rPr>
              <w:t>Reporte diario de Movimientos de Procesos Judiciales en los que es parte una entidad del orden  nacional.</w:t>
            </w:r>
            <w:r w:rsidRPr="00AA12B6">
              <w:rPr>
                <w:sz w:val="20"/>
              </w:rPr>
              <w:t xml:space="preserve"> </w:t>
            </w:r>
            <w:r w:rsidRPr="00AA12B6">
              <w:rPr>
                <w:b/>
                <w:sz w:val="20"/>
              </w:rPr>
              <w:t>Objetivo:</w:t>
            </w:r>
            <w:r w:rsidRPr="00AA12B6">
              <w:rPr>
                <w:sz w:val="20"/>
              </w:rPr>
              <w:t xml:space="preserve"> la DGI elabora un reporte diario de movimientos de procesos judiciales en los que es parte una entidad del orden  nacional, con el ánimo de informar a las Direcciones Técnicas de la Agencia el comportamiento de la actividad litigiosa de las entidades públicas en materia de procesos judiciales, identificando entre otros factores, posible riesgo fiscal asociado al valor de las pretensiones o al volumen de  procesos que comparten la misma causa. </w:t>
            </w:r>
            <w:r w:rsidRPr="00AA12B6">
              <w:rPr>
                <w:b/>
                <w:sz w:val="20"/>
              </w:rPr>
              <w:t>Impacto:</w:t>
            </w:r>
            <w:r w:rsidRPr="00AA12B6">
              <w:rPr>
                <w:sz w:val="20"/>
              </w:rPr>
              <w:t xml:space="preserve"> Lo anterior permitirá adoptar estrategias de defensa jurídica oportunas que mitiguen el riesgo fiscal, así como el diseño de política de prevención. </w:t>
            </w:r>
          </w:p>
          <w:p w14:paraId="2DE8251A" w14:textId="77777777" w:rsidR="00B41BF4" w:rsidRPr="00AA12B6" w:rsidRDefault="00B41BF4" w:rsidP="00E35227">
            <w:pPr>
              <w:ind w:left="403" w:hanging="43"/>
              <w:jc w:val="both"/>
              <w:rPr>
                <w:sz w:val="20"/>
              </w:rPr>
            </w:pPr>
          </w:p>
          <w:p w14:paraId="3DE4207A" w14:textId="77777777" w:rsidR="00B41BF4" w:rsidRPr="004E5F7F" w:rsidRDefault="00B41BF4" w:rsidP="003445A7">
            <w:pPr>
              <w:pStyle w:val="Prrafodelista"/>
              <w:numPr>
                <w:ilvl w:val="0"/>
                <w:numId w:val="20"/>
              </w:numPr>
              <w:ind w:left="403" w:hanging="43"/>
              <w:jc w:val="both"/>
              <w:rPr>
                <w:sz w:val="20"/>
              </w:rPr>
            </w:pPr>
            <w:r w:rsidRPr="00AA12B6">
              <w:rPr>
                <w:b/>
                <w:sz w:val="20"/>
              </w:rPr>
              <w:t xml:space="preserve">Acción: </w:t>
            </w:r>
            <w:r w:rsidRPr="00AA12B6">
              <w:rPr>
                <w:b/>
                <w:i/>
                <w:sz w:val="20"/>
              </w:rPr>
              <w:t>Caracterización mensual de la actividad litigiosa sectorial y boletín trimestral sobre la actividad litigiosa de la Nación.</w:t>
            </w:r>
            <w:r w:rsidRPr="00AA12B6">
              <w:rPr>
                <w:b/>
                <w:sz w:val="20"/>
              </w:rPr>
              <w:t xml:space="preserve"> Objetivo:</w:t>
            </w:r>
            <w:r w:rsidRPr="00AA12B6">
              <w:rPr>
                <w:sz w:val="20"/>
              </w:rPr>
              <w:t xml:space="preserve"> La DGI realiza una caracterización mensual de la actividad litigiosa sectorial y un boletín trimestral sobre la actividad litigiosa de la Nación, con lo que pretende rendir informes que identifiquen tendencias en el comportamiento de la actividad litigiosa de la Nación y los sectores de la administración pública nacional. </w:t>
            </w:r>
            <w:r w:rsidRPr="00AA12B6">
              <w:rPr>
                <w:b/>
                <w:sz w:val="20"/>
              </w:rPr>
              <w:t xml:space="preserve">Impacto: </w:t>
            </w:r>
            <w:r w:rsidRPr="00AA12B6">
              <w:rPr>
                <w:sz w:val="20"/>
              </w:rPr>
              <w:t>Proveer insumos para el diseño de políticas de prevención del daño antijurídico y estrategias de defensa jurídica sectoriales, así como para la gestión del riesgo fiscal, identificando aquellos sectores de la administración que presentan mayor litigiosidad o litigios de mayor impacto fiscal.</w:t>
            </w:r>
          </w:p>
        </w:tc>
      </w:tr>
      <w:tr w:rsidR="00B41BF4" w:rsidRPr="004E5F7F" w14:paraId="1069367B" w14:textId="77777777" w:rsidTr="00E46994">
        <w:tc>
          <w:tcPr>
            <w:tcW w:w="2466" w:type="dxa"/>
            <w:shd w:val="clear" w:color="auto" w:fill="CCC0D9" w:themeFill="accent4" w:themeFillTint="66"/>
          </w:tcPr>
          <w:p w14:paraId="75121442" w14:textId="77777777" w:rsidR="0058715C" w:rsidRDefault="0058715C" w:rsidP="0058715C">
            <w:pPr>
              <w:jc w:val="center"/>
              <w:rPr>
                <w:b/>
              </w:rPr>
            </w:pPr>
          </w:p>
          <w:p w14:paraId="51A01A64" w14:textId="77777777" w:rsidR="0058715C" w:rsidRDefault="0058715C" w:rsidP="0058715C">
            <w:pPr>
              <w:jc w:val="center"/>
              <w:rPr>
                <w:b/>
              </w:rPr>
            </w:pPr>
          </w:p>
          <w:p w14:paraId="06215642" w14:textId="77777777" w:rsidR="0058715C" w:rsidRDefault="0058715C" w:rsidP="0058715C">
            <w:pPr>
              <w:jc w:val="center"/>
              <w:rPr>
                <w:b/>
              </w:rPr>
            </w:pPr>
          </w:p>
          <w:p w14:paraId="47F6D2FB" w14:textId="77777777" w:rsidR="0058715C" w:rsidRDefault="0058715C" w:rsidP="0058715C">
            <w:pPr>
              <w:jc w:val="center"/>
              <w:rPr>
                <w:b/>
              </w:rPr>
            </w:pPr>
          </w:p>
          <w:p w14:paraId="6308B914" w14:textId="77777777" w:rsidR="0058715C" w:rsidRDefault="0058715C" w:rsidP="0058715C">
            <w:pPr>
              <w:jc w:val="center"/>
              <w:rPr>
                <w:b/>
              </w:rPr>
            </w:pPr>
          </w:p>
          <w:p w14:paraId="60B1228F" w14:textId="77777777" w:rsidR="0058715C" w:rsidRDefault="0058715C" w:rsidP="0058715C">
            <w:pPr>
              <w:jc w:val="center"/>
              <w:rPr>
                <w:b/>
              </w:rPr>
            </w:pPr>
          </w:p>
          <w:p w14:paraId="0687B02E" w14:textId="77777777" w:rsidR="0058715C" w:rsidRDefault="0058715C" w:rsidP="0058715C">
            <w:pPr>
              <w:jc w:val="center"/>
              <w:rPr>
                <w:b/>
              </w:rPr>
            </w:pPr>
          </w:p>
          <w:p w14:paraId="1E7E7B3A" w14:textId="77777777" w:rsidR="0058715C" w:rsidRDefault="0058715C" w:rsidP="0058715C">
            <w:pPr>
              <w:jc w:val="center"/>
              <w:rPr>
                <w:b/>
              </w:rPr>
            </w:pPr>
          </w:p>
          <w:p w14:paraId="754A217B" w14:textId="77777777" w:rsidR="0058715C" w:rsidRDefault="0058715C" w:rsidP="0058715C">
            <w:pPr>
              <w:jc w:val="center"/>
              <w:rPr>
                <w:b/>
              </w:rPr>
            </w:pPr>
          </w:p>
          <w:p w14:paraId="37F35B7A" w14:textId="77777777" w:rsidR="0058715C" w:rsidRDefault="0058715C" w:rsidP="0058715C">
            <w:pPr>
              <w:jc w:val="center"/>
              <w:rPr>
                <w:b/>
              </w:rPr>
            </w:pPr>
          </w:p>
          <w:p w14:paraId="0E093176" w14:textId="77777777" w:rsidR="0058715C" w:rsidRDefault="0058715C" w:rsidP="0058715C">
            <w:pPr>
              <w:jc w:val="center"/>
              <w:rPr>
                <w:b/>
              </w:rPr>
            </w:pPr>
          </w:p>
          <w:p w14:paraId="11BB430D" w14:textId="77777777" w:rsidR="0058715C" w:rsidRDefault="0058715C" w:rsidP="0058715C">
            <w:pPr>
              <w:jc w:val="center"/>
              <w:rPr>
                <w:b/>
              </w:rPr>
            </w:pPr>
          </w:p>
          <w:p w14:paraId="580812A0" w14:textId="77777777" w:rsidR="00B41BF4" w:rsidRPr="00CB4312" w:rsidRDefault="00B41BF4" w:rsidP="0058715C">
            <w:pPr>
              <w:jc w:val="center"/>
              <w:rPr>
                <w:b/>
              </w:rPr>
            </w:pPr>
            <w:r>
              <w:rPr>
                <w:b/>
              </w:rPr>
              <w:t>DIRECCION DE POLÍTICAS Y ESTRATEGIAS</w:t>
            </w:r>
          </w:p>
        </w:tc>
        <w:tc>
          <w:tcPr>
            <w:tcW w:w="6493" w:type="dxa"/>
          </w:tcPr>
          <w:p w14:paraId="48BF7A36" w14:textId="77777777" w:rsidR="00B41BF4" w:rsidRPr="00E46994" w:rsidRDefault="00B41BF4" w:rsidP="003445A7">
            <w:pPr>
              <w:pStyle w:val="Prrafodelista"/>
              <w:numPr>
                <w:ilvl w:val="0"/>
                <w:numId w:val="20"/>
              </w:numPr>
              <w:ind w:left="403" w:hanging="43"/>
              <w:jc w:val="both"/>
              <w:rPr>
                <w:sz w:val="20"/>
                <w:szCs w:val="20"/>
              </w:rPr>
            </w:pPr>
            <w:r w:rsidRPr="009F1113">
              <w:rPr>
                <w:b/>
                <w:sz w:val="20"/>
                <w:szCs w:val="20"/>
              </w:rPr>
              <w:t>Proyecto - Metodología para evaluar la cuantía en procesos de la CIDH</w:t>
            </w:r>
            <w:r>
              <w:rPr>
                <w:b/>
                <w:sz w:val="20"/>
                <w:szCs w:val="20"/>
              </w:rPr>
              <w:t xml:space="preserve">. </w:t>
            </w:r>
            <w:r w:rsidRPr="009F1113">
              <w:rPr>
                <w:b/>
                <w:sz w:val="20"/>
                <w:szCs w:val="20"/>
              </w:rPr>
              <w:t xml:space="preserve">Objetivo: </w:t>
            </w:r>
            <w:r>
              <w:rPr>
                <w:sz w:val="20"/>
                <w:szCs w:val="20"/>
              </w:rPr>
              <w:t>e</w:t>
            </w:r>
            <w:r w:rsidRPr="009F1113">
              <w:rPr>
                <w:sz w:val="20"/>
                <w:szCs w:val="20"/>
              </w:rPr>
              <w:t>stimar el monto de las posibles condenas en los procesos  que se adelantan en la Corte Interamericana de derechos humanos.</w:t>
            </w:r>
            <w:r>
              <w:rPr>
                <w:sz w:val="20"/>
                <w:szCs w:val="20"/>
              </w:rPr>
              <w:t xml:space="preserve"> </w:t>
            </w:r>
            <w:r w:rsidRPr="009F1113">
              <w:rPr>
                <w:b/>
                <w:sz w:val="20"/>
                <w:szCs w:val="20"/>
              </w:rPr>
              <w:t xml:space="preserve">Impacto: </w:t>
            </w:r>
            <w:r>
              <w:rPr>
                <w:sz w:val="20"/>
                <w:szCs w:val="20"/>
              </w:rPr>
              <w:t>c</w:t>
            </w:r>
            <w:r w:rsidRPr="009F1113">
              <w:rPr>
                <w:sz w:val="20"/>
                <w:szCs w:val="20"/>
              </w:rPr>
              <w:t>ontribuir a la estimación del aprovisionamiento del pago.</w:t>
            </w:r>
            <w:r>
              <w:rPr>
                <w:sz w:val="20"/>
                <w:szCs w:val="20"/>
              </w:rPr>
              <w:t xml:space="preserve"> </w:t>
            </w:r>
            <w:r>
              <w:rPr>
                <w:b/>
                <w:sz w:val="20"/>
                <w:szCs w:val="20"/>
              </w:rPr>
              <w:t>(Terminado).</w:t>
            </w:r>
          </w:p>
          <w:p w14:paraId="74C04DA5" w14:textId="77777777" w:rsidR="00317BFB" w:rsidRPr="00E35227" w:rsidRDefault="00317BFB" w:rsidP="00E46994">
            <w:pPr>
              <w:pStyle w:val="Prrafodelista"/>
              <w:ind w:left="403"/>
              <w:jc w:val="both"/>
              <w:rPr>
                <w:sz w:val="20"/>
                <w:szCs w:val="20"/>
              </w:rPr>
            </w:pPr>
          </w:p>
          <w:p w14:paraId="106F9F97" w14:textId="77777777" w:rsidR="00B41BF4" w:rsidRPr="00E46994" w:rsidRDefault="00B41BF4" w:rsidP="003445A7">
            <w:pPr>
              <w:pStyle w:val="Prrafodelista"/>
              <w:numPr>
                <w:ilvl w:val="0"/>
                <w:numId w:val="20"/>
              </w:numPr>
              <w:ind w:left="403" w:hanging="43"/>
              <w:jc w:val="both"/>
              <w:rPr>
                <w:sz w:val="20"/>
                <w:szCs w:val="20"/>
              </w:rPr>
            </w:pPr>
            <w:r w:rsidRPr="00F31D7C">
              <w:rPr>
                <w:b/>
                <w:sz w:val="20"/>
                <w:szCs w:val="20"/>
              </w:rPr>
              <w:t>Proyecto – Protocolo para fortalecer la defensa del Estado en los procesos de tutela</w:t>
            </w:r>
            <w:r>
              <w:rPr>
                <w:b/>
                <w:sz w:val="20"/>
                <w:szCs w:val="20"/>
              </w:rPr>
              <w:t xml:space="preserve">. </w:t>
            </w:r>
            <w:r w:rsidRPr="00F31D7C">
              <w:rPr>
                <w:b/>
                <w:sz w:val="20"/>
                <w:szCs w:val="20"/>
              </w:rPr>
              <w:t xml:space="preserve">Objetivo: </w:t>
            </w:r>
            <w:r w:rsidRPr="009657B4">
              <w:rPr>
                <w:sz w:val="20"/>
                <w:szCs w:val="20"/>
              </w:rPr>
              <w:t>e</w:t>
            </w:r>
            <w:r w:rsidRPr="00F31D7C">
              <w:rPr>
                <w:sz w:val="20"/>
                <w:szCs w:val="20"/>
              </w:rPr>
              <w:t>laboración de un protocolo para la defensa jurídica del Estado en Acciones de Tutela.</w:t>
            </w:r>
            <w:r>
              <w:rPr>
                <w:sz w:val="20"/>
                <w:szCs w:val="20"/>
              </w:rPr>
              <w:t xml:space="preserve"> </w:t>
            </w:r>
            <w:r w:rsidRPr="00F31D7C">
              <w:rPr>
                <w:b/>
                <w:sz w:val="20"/>
                <w:szCs w:val="20"/>
              </w:rPr>
              <w:t>(</w:t>
            </w:r>
            <w:r>
              <w:rPr>
                <w:b/>
                <w:sz w:val="20"/>
                <w:szCs w:val="20"/>
              </w:rPr>
              <w:t>E</w:t>
            </w:r>
            <w:r w:rsidRPr="00F31D7C">
              <w:rPr>
                <w:b/>
                <w:sz w:val="20"/>
                <w:szCs w:val="20"/>
              </w:rPr>
              <w:t>n desarrollo)</w:t>
            </w:r>
            <w:r>
              <w:rPr>
                <w:b/>
                <w:sz w:val="20"/>
                <w:szCs w:val="20"/>
              </w:rPr>
              <w:t>.</w:t>
            </w:r>
          </w:p>
          <w:p w14:paraId="254A2605" w14:textId="77777777" w:rsidR="00317BFB" w:rsidRPr="00E46994" w:rsidRDefault="00317BFB" w:rsidP="00E46994">
            <w:pPr>
              <w:pStyle w:val="Prrafodelista"/>
              <w:rPr>
                <w:sz w:val="20"/>
                <w:szCs w:val="20"/>
              </w:rPr>
            </w:pPr>
          </w:p>
          <w:p w14:paraId="28A15034" w14:textId="77777777" w:rsidR="00B41BF4" w:rsidRPr="00E35227" w:rsidRDefault="00B41BF4" w:rsidP="003445A7">
            <w:pPr>
              <w:pStyle w:val="Prrafodelista"/>
              <w:numPr>
                <w:ilvl w:val="0"/>
                <w:numId w:val="20"/>
              </w:numPr>
              <w:ind w:left="403" w:hanging="43"/>
              <w:jc w:val="both"/>
              <w:rPr>
                <w:sz w:val="20"/>
                <w:szCs w:val="20"/>
              </w:rPr>
            </w:pPr>
            <w:r w:rsidRPr="00F31D7C">
              <w:rPr>
                <w:b/>
                <w:sz w:val="20"/>
                <w:szCs w:val="20"/>
              </w:rPr>
              <w:t>Proyecto - Descripción de los procesos de tutela en contra del Estado.</w:t>
            </w:r>
            <w:r>
              <w:rPr>
                <w:b/>
                <w:sz w:val="20"/>
                <w:szCs w:val="20"/>
              </w:rPr>
              <w:t xml:space="preserve"> </w:t>
            </w:r>
            <w:r w:rsidRPr="00F31D7C">
              <w:rPr>
                <w:b/>
                <w:sz w:val="20"/>
                <w:szCs w:val="20"/>
              </w:rPr>
              <w:t xml:space="preserve">Objetivo: </w:t>
            </w:r>
            <w:r w:rsidRPr="00F31D7C">
              <w:rPr>
                <w:sz w:val="20"/>
                <w:szCs w:val="20"/>
              </w:rPr>
              <w:t>evaluar la defensa del estado en 768 acciones de tutela seleccionadas aleatoriamente, 384 tutelas en el segundo semestre del 2013 y 384 tutelas en el primer semestre del 2014.</w:t>
            </w:r>
            <w:r>
              <w:rPr>
                <w:sz w:val="20"/>
                <w:szCs w:val="20"/>
              </w:rPr>
              <w:t xml:space="preserve"> </w:t>
            </w:r>
            <w:r w:rsidRPr="00F31D7C">
              <w:rPr>
                <w:b/>
                <w:sz w:val="20"/>
                <w:szCs w:val="20"/>
              </w:rPr>
              <w:t>(</w:t>
            </w:r>
            <w:r>
              <w:rPr>
                <w:b/>
                <w:sz w:val="20"/>
                <w:szCs w:val="20"/>
              </w:rPr>
              <w:t>E</w:t>
            </w:r>
            <w:r w:rsidRPr="00F31D7C">
              <w:rPr>
                <w:b/>
                <w:sz w:val="20"/>
                <w:szCs w:val="20"/>
              </w:rPr>
              <w:t>n desarrollo)</w:t>
            </w:r>
            <w:r>
              <w:rPr>
                <w:b/>
                <w:sz w:val="20"/>
                <w:szCs w:val="20"/>
              </w:rPr>
              <w:t>.</w:t>
            </w:r>
          </w:p>
          <w:p w14:paraId="4F8EB22E" w14:textId="77777777" w:rsidR="00E35227" w:rsidRPr="00E35227" w:rsidRDefault="00E35227" w:rsidP="00E35227">
            <w:pPr>
              <w:pStyle w:val="Prrafodelista"/>
              <w:rPr>
                <w:sz w:val="20"/>
                <w:szCs w:val="20"/>
              </w:rPr>
            </w:pPr>
          </w:p>
          <w:p w14:paraId="30568001" w14:textId="77777777" w:rsidR="00B41BF4" w:rsidRPr="00E35227" w:rsidRDefault="00B41BF4" w:rsidP="003445A7">
            <w:pPr>
              <w:pStyle w:val="Prrafodelista"/>
              <w:numPr>
                <w:ilvl w:val="0"/>
                <w:numId w:val="20"/>
              </w:numPr>
              <w:ind w:left="403" w:hanging="43"/>
              <w:jc w:val="both"/>
              <w:rPr>
                <w:sz w:val="20"/>
                <w:szCs w:val="20"/>
              </w:rPr>
            </w:pPr>
            <w:r w:rsidRPr="00F31D7C">
              <w:rPr>
                <w:b/>
                <w:sz w:val="20"/>
                <w:szCs w:val="20"/>
              </w:rPr>
              <w:t>Proyecto - Tasa de éxito procesal</w:t>
            </w:r>
            <w:r>
              <w:rPr>
                <w:b/>
                <w:sz w:val="20"/>
                <w:szCs w:val="20"/>
              </w:rPr>
              <w:t xml:space="preserve">. </w:t>
            </w:r>
            <w:r w:rsidRPr="00F31D7C">
              <w:rPr>
                <w:b/>
                <w:sz w:val="20"/>
                <w:szCs w:val="20"/>
              </w:rPr>
              <w:t xml:space="preserve">Objetivo: </w:t>
            </w:r>
            <w:r w:rsidRPr="00F31D7C">
              <w:rPr>
                <w:sz w:val="20"/>
                <w:szCs w:val="20"/>
              </w:rPr>
              <w:t>realizar un diagnóstico de la tasa de  éxito de la Nación en los procesos en que participa y calcular la tasa de éxito por tipo de proceso.</w:t>
            </w:r>
            <w:r>
              <w:rPr>
                <w:sz w:val="20"/>
                <w:szCs w:val="20"/>
              </w:rPr>
              <w:t xml:space="preserve">  </w:t>
            </w:r>
            <w:r w:rsidRPr="00F31D7C">
              <w:rPr>
                <w:b/>
                <w:sz w:val="20"/>
                <w:szCs w:val="20"/>
              </w:rPr>
              <w:t xml:space="preserve">Impacto: </w:t>
            </w:r>
            <w:r w:rsidRPr="00F31D7C">
              <w:rPr>
                <w:sz w:val="20"/>
                <w:szCs w:val="20"/>
              </w:rPr>
              <w:t>evaluar costos y beneficios de la defensa y de las estrategias de conciliación.</w:t>
            </w:r>
            <w:r>
              <w:rPr>
                <w:sz w:val="20"/>
                <w:szCs w:val="20"/>
              </w:rPr>
              <w:t xml:space="preserve"> (i)</w:t>
            </w:r>
            <w:r w:rsidRPr="00F31D7C">
              <w:rPr>
                <w:sz w:val="20"/>
                <w:szCs w:val="20"/>
              </w:rPr>
              <w:t>Mej</w:t>
            </w:r>
            <w:r>
              <w:rPr>
                <w:sz w:val="20"/>
                <w:szCs w:val="20"/>
              </w:rPr>
              <w:t>orar las estrategias de defensa; (ii)</w:t>
            </w:r>
            <w:r w:rsidRPr="00F31D7C">
              <w:rPr>
                <w:sz w:val="20"/>
                <w:szCs w:val="20"/>
              </w:rPr>
              <w:t xml:space="preserve"> Definir criterios para la intervención de la agencia</w:t>
            </w:r>
            <w:r>
              <w:rPr>
                <w:sz w:val="20"/>
                <w:szCs w:val="20"/>
              </w:rPr>
              <w:t>; (iii)</w:t>
            </w:r>
            <w:r w:rsidRPr="00F31D7C">
              <w:rPr>
                <w:sz w:val="20"/>
                <w:szCs w:val="20"/>
              </w:rPr>
              <w:t xml:space="preserve"> Generar un indicador de impacto sobre la gestión de la defensa.</w:t>
            </w:r>
            <w:r>
              <w:rPr>
                <w:sz w:val="20"/>
                <w:szCs w:val="20"/>
              </w:rPr>
              <w:t xml:space="preserve"> </w:t>
            </w:r>
            <w:r w:rsidRPr="00F31D7C">
              <w:rPr>
                <w:b/>
                <w:sz w:val="20"/>
                <w:szCs w:val="20"/>
              </w:rPr>
              <w:t>(</w:t>
            </w:r>
            <w:r>
              <w:rPr>
                <w:b/>
                <w:sz w:val="20"/>
                <w:szCs w:val="20"/>
              </w:rPr>
              <w:t>E</w:t>
            </w:r>
            <w:r w:rsidRPr="00F31D7C">
              <w:rPr>
                <w:b/>
                <w:sz w:val="20"/>
                <w:szCs w:val="20"/>
              </w:rPr>
              <w:t>n desarrollo)</w:t>
            </w:r>
            <w:r>
              <w:rPr>
                <w:b/>
                <w:sz w:val="20"/>
                <w:szCs w:val="20"/>
              </w:rPr>
              <w:t>.</w:t>
            </w:r>
          </w:p>
          <w:p w14:paraId="0179726B" w14:textId="77777777" w:rsidR="00E35227" w:rsidRPr="00E35227" w:rsidRDefault="00E35227" w:rsidP="00E35227">
            <w:pPr>
              <w:pStyle w:val="Prrafodelista"/>
              <w:rPr>
                <w:sz w:val="20"/>
                <w:szCs w:val="20"/>
              </w:rPr>
            </w:pPr>
          </w:p>
          <w:p w14:paraId="2B27345C" w14:textId="77777777" w:rsidR="00B41BF4" w:rsidRPr="00E35227" w:rsidRDefault="00B41BF4" w:rsidP="003445A7">
            <w:pPr>
              <w:pStyle w:val="Prrafodelista"/>
              <w:numPr>
                <w:ilvl w:val="0"/>
                <w:numId w:val="20"/>
              </w:numPr>
              <w:ind w:left="403" w:hanging="43"/>
              <w:jc w:val="both"/>
              <w:rPr>
                <w:sz w:val="20"/>
                <w:szCs w:val="20"/>
              </w:rPr>
            </w:pPr>
            <w:r w:rsidRPr="00F31D7C">
              <w:rPr>
                <w:b/>
                <w:sz w:val="20"/>
                <w:szCs w:val="20"/>
              </w:rPr>
              <w:lastRenderedPageBreak/>
              <w:t>Proyecto - Análisis cualitativo de la defensa del Estado</w:t>
            </w:r>
            <w:r>
              <w:rPr>
                <w:b/>
                <w:sz w:val="20"/>
                <w:szCs w:val="20"/>
              </w:rPr>
              <w:t xml:space="preserve">. </w:t>
            </w:r>
            <w:r w:rsidRPr="00F31D7C">
              <w:rPr>
                <w:b/>
                <w:sz w:val="20"/>
                <w:szCs w:val="20"/>
              </w:rPr>
              <w:t xml:space="preserve">Objetivo: </w:t>
            </w:r>
            <w:r w:rsidRPr="00F31D7C">
              <w:rPr>
                <w:sz w:val="20"/>
                <w:szCs w:val="20"/>
              </w:rPr>
              <w:t>realizar un diagnóstico de la defensa jurídica del Estado en las acciones de reparación directa y contractual iniciadas en contra del Ministerio de Defensa, la Policía Nacional, la Fiscalía General de la Nación y el INVIAS y generar un instrumento para valorar la calidad de la defensa del Estado.</w:t>
            </w:r>
            <w:r>
              <w:rPr>
                <w:sz w:val="20"/>
                <w:szCs w:val="20"/>
              </w:rPr>
              <w:t xml:space="preserve"> </w:t>
            </w:r>
            <w:r w:rsidRPr="00CC2A91">
              <w:rPr>
                <w:b/>
                <w:sz w:val="20"/>
                <w:szCs w:val="20"/>
              </w:rPr>
              <w:t>(</w:t>
            </w:r>
            <w:r>
              <w:rPr>
                <w:b/>
                <w:sz w:val="20"/>
                <w:szCs w:val="20"/>
              </w:rPr>
              <w:t>E</w:t>
            </w:r>
            <w:r w:rsidRPr="00CC2A91">
              <w:rPr>
                <w:b/>
                <w:sz w:val="20"/>
                <w:szCs w:val="20"/>
              </w:rPr>
              <w:t>n desarrollo).</w:t>
            </w:r>
          </w:p>
          <w:p w14:paraId="1A107DD3" w14:textId="77777777" w:rsidR="00E35227" w:rsidRPr="00E35227" w:rsidRDefault="00E35227" w:rsidP="00E35227">
            <w:pPr>
              <w:pStyle w:val="Prrafodelista"/>
              <w:rPr>
                <w:sz w:val="20"/>
                <w:szCs w:val="20"/>
              </w:rPr>
            </w:pPr>
          </w:p>
          <w:p w14:paraId="05B7C2D0" w14:textId="77777777" w:rsidR="00B41BF4" w:rsidRPr="00E35227" w:rsidRDefault="00B41BF4" w:rsidP="003445A7">
            <w:pPr>
              <w:pStyle w:val="Prrafodelista"/>
              <w:numPr>
                <w:ilvl w:val="0"/>
                <w:numId w:val="20"/>
              </w:numPr>
              <w:ind w:left="403" w:hanging="43"/>
              <w:jc w:val="both"/>
              <w:rPr>
                <w:sz w:val="20"/>
                <w:szCs w:val="20"/>
              </w:rPr>
            </w:pPr>
            <w:r w:rsidRPr="00CC2A91">
              <w:rPr>
                <w:b/>
                <w:sz w:val="20"/>
                <w:szCs w:val="20"/>
              </w:rPr>
              <w:t>Proyecto– Modelo de probabilidad del éxito del Estado en procesos en su contra</w:t>
            </w:r>
            <w:r>
              <w:rPr>
                <w:b/>
                <w:sz w:val="20"/>
                <w:szCs w:val="20"/>
              </w:rPr>
              <w:t xml:space="preserve">. </w:t>
            </w:r>
            <w:r w:rsidRPr="00CC2A91">
              <w:rPr>
                <w:b/>
                <w:sz w:val="20"/>
                <w:szCs w:val="20"/>
              </w:rPr>
              <w:t xml:space="preserve">Objetivo: </w:t>
            </w:r>
            <w:r w:rsidRPr="00CC2A91">
              <w:rPr>
                <w:sz w:val="20"/>
                <w:szCs w:val="20"/>
              </w:rPr>
              <w:t>encontrar las variables que están correlacionadas con el éxito de la Nación en las condenas en su contra.</w:t>
            </w:r>
            <w:r>
              <w:rPr>
                <w:sz w:val="20"/>
                <w:szCs w:val="20"/>
              </w:rPr>
              <w:t xml:space="preserve"> </w:t>
            </w:r>
            <w:r w:rsidRPr="00CC2A91">
              <w:rPr>
                <w:b/>
                <w:sz w:val="20"/>
                <w:szCs w:val="20"/>
              </w:rPr>
              <w:t>(</w:t>
            </w:r>
            <w:r>
              <w:rPr>
                <w:b/>
                <w:sz w:val="20"/>
                <w:szCs w:val="20"/>
              </w:rPr>
              <w:t>E</w:t>
            </w:r>
            <w:r w:rsidRPr="00CC2A91">
              <w:rPr>
                <w:b/>
                <w:sz w:val="20"/>
                <w:szCs w:val="20"/>
              </w:rPr>
              <w:t>n desarrollo)</w:t>
            </w:r>
            <w:r>
              <w:rPr>
                <w:b/>
                <w:sz w:val="20"/>
                <w:szCs w:val="20"/>
              </w:rPr>
              <w:t>.</w:t>
            </w:r>
          </w:p>
          <w:p w14:paraId="75B95567" w14:textId="77777777" w:rsidR="00E35227" w:rsidRDefault="00E35227" w:rsidP="00E35227">
            <w:pPr>
              <w:pStyle w:val="Prrafodelista"/>
              <w:rPr>
                <w:sz w:val="20"/>
                <w:szCs w:val="20"/>
              </w:rPr>
            </w:pPr>
          </w:p>
          <w:p w14:paraId="620E3C93" w14:textId="77777777" w:rsidR="00317BFB" w:rsidRPr="00E35227" w:rsidRDefault="00317BFB" w:rsidP="00E35227">
            <w:pPr>
              <w:pStyle w:val="Prrafodelista"/>
              <w:rPr>
                <w:sz w:val="20"/>
                <w:szCs w:val="20"/>
              </w:rPr>
            </w:pPr>
          </w:p>
          <w:p w14:paraId="5736C811" w14:textId="77777777" w:rsidR="00B41BF4" w:rsidRPr="00E35227" w:rsidRDefault="00B41BF4" w:rsidP="003445A7">
            <w:pPr>
              <w:pStyle w:val="Prrafodelista"/>
              <w:numPr>
                <w:ilvl w:val="0"/>
                <w:numId w:val="20"/>
              </w:numPr>
              <w:ind w:left="403" w:hanging="43"/>
              <w:jc w:val="both"/>
              <w:rPr>
                <w:sz w:val="20"/>
                <w:szCs w:val="20"/>
              </w:rPr>
            </w:pPr>
            <w:r w:rsidRPr="00CC2A91">
              <w:rPr>
                <w:b/>
                <w:sz w:val="20"/>
                <w:szCs w:val="20"/>
              </w:rPr>
              <w:t xml:space="preserve">Proyecto - Metodología para la valoración de las cuantías de los procesos. Objetivo: </w:t>
            </w:r>
            <w:r>
              <w:rPr>
                <w:sz w:val="20"/>
                <w:szCs w:val="20"/>
              </w:rPr>
              <w:t>d</w:t>
            </w:r>
            <w:r w:rsidRPr="00CC2A91">
              <w:rPr>
                <w:sz w:val="20"/>
                <w:szCs w:val="20"/>
              </w:rPr>
              <w:t xml:space="preserve">esarrollar una metodología más precisa para la valoración de los procesos. </w:t>
            </w:r>
            <w:r w:rsidRPr="00CC2A91">
              <w:rPr>
                <w:b/>
                <w:sz w:val="20"/>
                <w:szCs w:val="20"/>
              </w:rPr>
              <w:t xml:space="preserve">Impacto: </w:t>
            </w:r>
            <w:r>
              <w:rPr>
                <w:b/>
                <w:sz w:val="20"/>
                <w:szCs w:val="20"/>
              </w:rPr>
              <w:t>a</w:t>
            </w:r>
            <w:r w:rsidRPr="00CC2A91">
              <w:rPr>
                <w:sz w:val="20"/>
                <w:szCs w:val="20"/>
              </w:rPr>
              <w:t>finar el cálculo del pasivo contingente.</w:t>
            </w:r>
            <w:r>
              <w:rPr>
                <w:sz w:val="20"/>
                <w:szCs w:val="20"/>
              </w:rPr>
              <w:t xml:space="preserve"> </w:t>
            </w:r>
            <w:r>
              <w:rPr>
                <w:b/>
                <w:sz w:val="20"/>
                <w:szCs w:val="20"/>
              </w:rPr>
              <w:t>(E</w:t>
            </w:r>
            <w:r w:rsidRPr="00CC2A91">
              <w:rPr>
                <w:b/>
                <w:sz w:val="20"/>
                <w:szCs w:val="20"/>
              </w:rPr>
              <w:t>n desarrollo)</w:t>
            </w:r>
            <w:r>
              <w:rPr>
                <w:b/>
                <w:sz w:val="20"/>
                <w:szCs w:val="20"/>
              </w:rPr>
              <w:t>.</w:t>
            </w:r>
          </w:p>
          <w:p w14:paraId="6BA606E5" w14:textId="77777777" w:rsidR="00E35227" w:rsidRPr="00E35227" w:rsidRDefault="00E35227" w:rsidP="00E35227">
            <w:pPr>
              <w:pStyle w:val="Prrafodelista"/>
              <w:rPr>
                <w:sz w:val="20"/>
                <w:szCs w:val="20"/>
              </w:rPr>
            </w:pPr>
          </w:p>
          <w:p w14:paraId="5B636D69" w14:textId="77777777" w:rsidR="00B41BF4" w:rsidRPr="004E5F7F" w:rsidRDefault="00B41BF4" w:rsidP="003445A7">
            <w:pPr>
              <w:pStyle w:val="Prrafodelista"/>
              <w:numPr>
                <w:ilvl w:val="0"/>
                <w:numId w:val="20"/>
              </w:numPr>
              <w:ind w:left="403" w:hanging="43"/>
              <w:jc w:val="both"/>
            </w:pPr>
            <w:r w:rsidRPr="00CC2A91">
              <w:rPr>
                <w:b/>
                <w:sz w:val="20"/>
                <w:szCs w:val="20"/>
              </w:rPr>
              <w:t>Proyecto – Análisis de las causas que generan laudos arbitrales contra el Estado</w:t>
            </w:r>
            <w:r>
              <w:rPr>
                <w:b/>
                <w:sz w:val="20"/>
                <w:szCs w:val="20"/>
              </w:rPr>
              <w:t xml:space="preserve">. </w:t>
            </w:r>
            <w:r w:rsidRPr="00CC2A91">
              <w:rPr>
                <w:b/>
                <w:sz w:val="20"/>
                <w:szCs w:val="20"/>
              </w:rPr>
              <w:t xml:space="preserve">Objetivo: </w:t>
            </w:r>
            <w:r>
              <w:rPr>
                <w:sz w:val="20"/>
                <w:szCs w:val="20"/>
              </w:rPr>
              <w:t>d</w:t>
            </w:r>
            <w:r w:rsidRPr="00CC2A91">
              <w:rPr>
                <w:sz w:val="20"/>
                <w:szCs w:val="20"/>
              </w:rPr>
              <w:t xml:space="preserve">escribir y analizar las causas o temáticas que generan decisiones de procesos </w:t>
            </w:r>
            <w:r>
              <w:rPr>
                <w:sz w:val="20"/>
                <w:szCs w:val="20"/>
              </w:rPr>
              <w:t xml:space="preserve">de los que hace parte el Estado. </w:t>
            </w:r>
            <w:r w:rsidRPr="00CC2A91">
              <w:rPr>
                <w:b/>
                <w:sz w:val="20"/>
                <w:szCs w:val="20"/>
              </w:rPr>
              <w:t>(</w:t>
            </w:r>
            <w:r>
              <w:rPr>
                <w:b/>
                <w:sz w:val="20"/>
                <w:szCs w:val="20"/>
              </w:rPr>
              <w:t>E</w:t>
            </w:r>
            <w:r w:rsidRPr="00CC2A91">
              <w:rPr>
                <w:b/>
                <w:sz w:val="20"/>
                <w:szCs w:val="20"/>
              </w:rPr>
              <w:t>n desarrollo)</w:t>
            </w:r>
            <w:r>
              <w:rPr>
                <w:b/>
                <w:sz w:val="20"/>
                <w:szCs w:val="20"/>
              </w:rPr>
              <w:t>.</w:t>
            </w:r>
          </w:p>
        </w:tc>
      </w:tr>
      <w:tr w:rsidR="00B41BF4" w:rsidRPr="004E5F7F" w14:paraId="2C271D5A" w14:textId="77777777" w:rsidTr="0058715C">
        <w:tc>
          <w:tcPr>
            <w:tcW w:w="2466" w:type="dxa"/>
            <w:shd w:val="clear" w:color="auto" w:fill="33CCCC"/>
          </w:tcPr>
          <w:p w14:paraId="2F5BBE4A" w14:textId="77777777" w:rsidR="0058715C" w:rsidRDefault="0058715C" w:rsidP="0058715C">
            <w:pPr>
              <w:jc w:val="center"/>
              <w:rPr>
                <w:b/>
              </w:rPr>
            </w:pPr>
          </w:p>
          <w:p w14:paraId="6D9FD9CC" w14:textId="77777777" w:rsidR="0058715C" w:rsidRDefault="0058715C" w:rsidP="0058715C">
            <w:pPr>
              <w:jc w:val="center"/>
              <w:rPr>
                <w:b/>
              </w:rPr>
            </w:pPr>
          </w:p>
          <w:p w14:paraId="28735ACD" w14:textId="77777777" w:rsidR="0058715C" w:rsidRDefault="0058715C" w:rsidP="0058715C">
            <w:pPr>
              <w:jc w:val="center"/>
              <w:rPr>
                <w:b/>
              </w:rPr>
            </w:pPr>
          </w:p>
          <w:p w14:paraId="6C6F2F54" w14:textId="77777777" w:rsidR="0058715C" w:rsidRDefault="0058715C" w:rsidP="0058715C">
            <w:pPr>
              <w:jc w:val="center"/>
              <w:rPr>
                <w:b/>
              </w:rPr>
            </w:pPr>
          </w:p>
          <w:p w14:paraId="0077A6F3" w14:textId="77777777" w:rsidR="0058715C" w:rsidRDefault="0058715C" w:rsidP="0058715C">
            <w:pPr>
              <w:jc w:val="center"/>
              <w:rPr>
                <w:b/>
              </w:rPr>
            </w:pPr>
          </w:p>
          <w:p w14:paraId="094C6E74" w14:textId="77777777" w:rsidR="0058715C" w:rsidRDefault="0058715C" w:rsidP="0058715C">
            <w:pPr>
              <w:jc w:val="center"/>
              <w:rPr>
                <w:b/>
              </w:rPr>
            </w:pPr>
          </w:p>
          <w:p w14:paraId="54361821" w14:textId="77777777" w:rsidR="0058715C" w:rsidRDefault="0058715C" w:rsidP="0058715C">
            <w:pPr>
              <w:jc w:val="center"/>
              <w:rPr>
                <w:b/>
              </w:rPr>
            </w:pPr>
          </w:p>
          <w:p w14:paraId="3A4893FA" w14:textId="77777777" w:rsidR="0058715C" w:rsidRDefault="0058715C" w:rsidP="0058715C">
            <w:pPr>
              <w:jc w:val="center"/>
              <w:rPr>
                <w:b/>
              </w:rPr>
            </w:pPr>
          </w:p>
          <w:p w14:paraId="0D61A1DC" w14:textId="77777777" w:rsidR="0058715C" w:rsidRDefault="0058715C" w:rsidP="0058715C">
            <w:pPr>
              <w:jc w:val="center"/>
              <w:rPr>
                <w:b/>
              </w:rPr>
            </w:pPr>
          </w:p>
          <w:p w14:paraId="758B25B2" w14:textId="77777777" w:rsidR="0058715C" w:rsidRDefault="0058715C" w:rsidP="0058715C">
            <w:pPr>
              <w:jc w:val="center"/>
              <w:rPr>
                <w:b/>
              </w:rPr>
            </w:pPr>
          </w:p>
          <w:p w14:paraId="76322761" w14:textId="77777777" w:rsidR="00B41BF4" w:rsidRPr="00B41BF4" w:rsidRDefault="00B41BF4" w:rsidP="0058715C">
            <w:pPr>
              <w:jc w:val="center"/>
              <w:rPr>
                <w:b/>
              </w:rPr>
            </w:pPr>
            <w:r w:rsidRPr="00B41BF4">
              <w:rPr>
                <w:b/>
              </w:rPr>
              <w:t>DIRECCIÓN DE DEFENSA JURIDICA</w:t>
            </w:r>
          </w:p>
        </w:tc>
        <w:tc>
          <w:tcPr>
            <w:tcW w:w="6493" w:type="dxa"/>
          </w:tcPr>
          <w:p w14:paraId="7D1DAF0B" w14:textId="77777777" w:rsidR="00B41BF4" w:rsidRPr="00E35227" w:rsidRDefault="00B41BF4" w:rsidP="003445A7">
            <w:pPr>
              <w:numPr>
                <w:ilvl w:val="0"/>
                <w:numId w:val="6"/>
              </w:numPr>
              <w:ind w:left="432" w:firstLine="0"/>
              <w:jc w:val="both"/>
              <w:rPr>
                <w:sz w:val="20"/>
                <w:szCs w:val="20"/>
              </w:rPr>
            </w:pPr>
            <w:r w:rsidRPr="00E35227">
              <w:rPr>
                <w:b/>
                <w:sz w:val="20"/>
                <w:szCs w:val="20"/>
              </w:rPr>
              <w:t xml:space="preserve">Acción: Coordinación de la Defensa. </w:t>
            </w:r>
            <w:r w:rsidRPr="00E35227">
              <w:rPr>
                <w:sz w:val="20"/>
                <w:szCs w:val="20"/>
              </w:rPr>
              <w:t xml:space="preserve">La Dirección de Defensa ha realizado la coordinación, en 179 pleitos con pretensiones alrededor de los 29.6 Billones, a fin  de analizar con las entidades demandadas la estrategia empleada para la defensa de los intereses litigiosos de la Nación, la probabilidad de éxito, así como las fortalezas y debilidades de las pretensiones. </w:t>
            </w:r>
          </w:p>
          <w:p w14:paraId="76D12E1B" w14:textId="77777777" w:rsidR="00B41BF4" w:rsidRPr="00E35227" w:rsidRDefault="00B41BF4" w:rsidP="003445A7">
            <w:pPr>
              <w:numPr>
                <w:ilvl w:val="0"/>
                <w:numId w:val="6"/>
              </w:numPr>
              <w:ind w:left="432" w:firstLine="0"/>
              <w:jc w:val="both"/>
              <w:rPr>
                <w:b/>
                <w:sz w:val="20"/>
                <w:szCs w:val="20"/>
              </w:rPr>
            </w:pPr>
            <w:r w:rsidRPr="00E35227">
              <w:rPr>
                <w:b/>
                <w:sz w:val="20"/>
                <w:szCs w:val="20"/>
              </w:rPr>
              <w:t xml:space="preserve">Acción: Intervención Procesal: </w:t>
            </w:r>
            <w:r w:rsidRPr="00E35227">
              <w:rPr>
                <w:sz w:val="20"/>
                <w:szCs w:val="20"/>
              </w:rPr>
              <w:t>La Dirección de Defensa propuso a la Dirección General, a partir del análisis realizado de  los 25  procesos más cuantiosos para el Estado y de los procesos de más de 20.000 Millones remitidos por la DGI,  los casos en los cuales se requería la intervención procesal por parte de la Agencia.</w:t>
            </w:r>
            <w:r w:rsidRPr="00E35227">
              <w:rPr>
                <w:b/>
                <w:sz w:val="20"/>
                <w:szCs w:val="20"/>
              </w:rPr>
              <w:t xml:space="preserve"> </w:t>
            </w:r>
            <w:r w:rsidRPr="00E35227">
              <w:rPr>
                <w:sz w:val="20"/>
                <w:szCs w:val="20"/>
              </w:rPr>
              <w:t>La DDJ ha intervenido en 63 pleitos con pretensiones que se encuentran alrededor de los 7.4 Billones de pesos.</w:t>
            </w:r>
          </w:p>
          <w:p w14:paraId="51E2BE6A" w14:textId="77777777" w:rsidR="00317BFB" w:rsidRDefault="00B41BF4" w:rsidP="009B7C02">
            <w:pPr>
              <w:ind w:left="432"/>
              <w:jc w:val="both"/>
              <w:rPr>
                <w:b/>
                <w:sz w:val="20"/>
                <w:szCs w:val="20"/>
              </w:rPr>
            </w:pPr>
            <w:r w:rsidRPr="00E35227">
              <w:rPr>
                <w:b/>
                <w:sz w:val="20"/>
                <w:szCs w:val="20"/>
              </w:rPr>
              <w:t xml:space="preserve">Acción: Línea de Defensa para alternativas administrativas y procesales para finiquitar los procesos ejecutivos de sentencias judiciales que se tramitan en la actualidad ante los diferentes despachos judiciales del país, bajo el marco del Acuerdo 007 de 2012. </w:t>
            </w:r>
          </w:p>
          <w:p w14:paraId="02AFC50C" w14:textId="77777777" w:rsidR="00B41BF4" w:rsidRPr="004E5F7F" w:rsidRDefault="00B41BF4" w:rsidP="00E46994">
            <w:pPr>
              <w:ind w:left="432"/>
              <w:jc w:val="both"/>
            </w:pPr>
            <w:r w:rsidRPr="00E35227">
              <w:rPr>
                <w:sz w:val="20"/>
                <w:szCs w:val="20"/>
              </w:rPr>
              <w:t xml:space="preserve">La DDJ trabaja en la elaboración de una cartilla </w:t>
            </w:r>
            <w:r w:rsidR="00317BFB">
              <w:rPr>
                <w:sz w:val="20"/>
                <w:szCs w:val="20"/>
              </w:rPr>
              <w:t>mediante la cual</w:t>
            </w:r>
            <w:r w:rsidRPr="00E35227">
              <w:rPr>
                <w:sz w:val="20"/>
                <w:szCs w:val="20"/>
              </w:rPr>
              <w:t xml:space="preserve"> se le entregue a Colpensiones líneas de defensa para finiquitar los procesos ejecutivos y evitar el trámite de futuros conflictos derivados de la ejecución de sentencias judiciales en temas pensionales y de seguridad social.</w:t>
            </w:r>
          </w:p>
        </w:tc>
      </w:tr>
    </w:tbl>
    <w:p w14:paraId="739DBDD1" w14:textId="77777777" w:rsidR="00B41BF4" w:rsidRDefault="00B41BF4" w:rsidP="000C7FB3">
      <w:pPr>
        <w:spacing w:after="0"/>
        <w:jc w:val="both"/>
      </w:pPr>
    </w:p>
    <w:p w14:paraId="0587EDA5" w14:textId="77777777" w:rsidR="007E129E" w:rsidRDefault="007E129E" w:rsidP="000F3F40">
      <w:pPr>
        <w:spacing w:after="0"/>
        <w:jc w:val="center"/>
        <w:rPr>
          <w:b/>
          <w:sz w:val="20"/>
          <w:szCs w:val="20"/>
        </w:rPr>
      </w:pPr>
    </w:p>
    <w:p w14:paraId="4AB48A03" w14:textId="77777777" w:rsidR="007E129E" w:rsidRDefault="007E129E" w:rsidP="000F3F40">
      <w:pPr>
        <w:spacing w:after="0"/>
        <w:jc w:val="center"/>
        <w:rPr>
          <w:b/>
          <w:sz w:val="20"/>
          <w:szCs w:val="20"/>
        </w:rPr>
      </w:pPr>
    </w:p>
    <w:p w14:paraId="0B1F8257" w14:textId="77777777" w:rsidR="007E129E" w:rsidRDefault="007E129E" w:rsidP="000F3F40">
      <w:pPr>
        <w:spacing w:after="0"/>
        <w:jc w:val="center"/>
        <w:rPr>
          <w:b/>
          <w:sz w:val="20"/>
          <w:szCs w:val="20"/>
        </w:rPr>
      </w:pPr>
    </w:p>
    <w:p w14:paraId="52D7F0A3" w14:textId="77777777" w:rsidR="00E35227" w:rsidRPr="00E46994" w:rsidRDefault="000F3F40" w:rsidP="000F3F40">
      <w:pPr>
        <w:spacing w:after="0"/>
        <w:jc w:val="center"/>
        <w:rPr>
          <w:b/>
          <w:sz w:val="20"/>
          <w:szCs w:val="20"/>
        </w:rPr>
      </w:pPr>
      <w:r w:rsidRPr="00E46994">
        <w:rPr>
          <w:b/>
          <w:sz w:val="20"/>
          <w:szCs w:val="20"/>
        </w:rPr>
        <w:lastRenderedPageBreak/>
        <w:t xml:space="preserve">Tabla </w:t>
      </w:r>
      <w:r w:rsidR="007E129E" w:rsidRPr="00E46994">
        <w:rPr>
          <w:b/>
          <w:sz w:val="20"/>
          <w:szCs w:val="20"/>
        </w:rPr>
        <w:t>1</w:t>
      </w:r>
      <w:r w:rsidR="004F12E8">
        <w:rPr>
          <w:b/>
          <w:sz w:val="20"/>
          <w:szCs w:val="20"/>
        </w:rPr>
        <w:t>8</w:t>
      </w:r>
      <w:r w:rsidR="007E129E" w:rsidRPr="00E46994">
        <w:rPr>
          <w:b/>
          <w:sz w:val="20"/>
          <w:szCs w:val="20"/>
        </w:rPr>
        <w:t>.</w:t>
      </w:r>
      <w:r w:rsidRPr="00E46994">
        <w:rPr>
          <w:b/>
          <w:sz w:val="20"/>
          <w:szCs w:val="20"/>
        </w:rPr>
        <w:t xml:space="preserve"> Cumplimiento de pago de sentencias y conciliaciones</w:t>
      </w:r>
      <w:r w:rsidR="00A20928">
        <w:rPr>
          <w:b/>
          <w:sz w:val="20"/>
          <w:szCs w:val="20"/>
        </w:rPr>
        <w:t xml:space="preserve"> dentro del ciclo de defensa</w:t>
      </w:r>
    </w:p>
    <w:p w14:paraId="41377D6C" w14:textId="77777777" w:rsidR="00B41BF4" w:rsidRPr="00E46994" w:rsidRDefault="00B41BF4" w:rsidP="000C7FB3">
      <w:pPr>
        <w:spacing w:after="0"/>
        <w:jc w:val="both"/>
        <w:rPr>
          <w:sz w:val="20"/>
          <w:szCs w:val="20"/>
        </w:rPr>
      </w:pPr>
    </w:p>
    <w:tbl>
      <w:tblPr>
        <w:tblStyle w:val="Tablaconcuadrcula"/>
        <w:tblW w:w="8959" w:type="dxa"/>
        <w:tblInd w:w="108" w:type="dxa"/>
        <w:tblLayout w:type="fixed"/>
        <w:tblLook w:val="04A0" w:firstRow="1" w:lastRow="0" w:firstColumn="1" w:lastColumn="0" w:noHBand="0" w:noVBand="1"/>
      </w:tblPr>
      <w:tblGrid>
        <w:gridCol w:w="2410"/>
        <w:gridCol w:w="6549"/>
      </w:tblGrid>
      <w:tr w:rsidR="00B41BF4" w:rsidRPr="004E5F7F" w14:paraId="5834C973" w14:textId="77777777" w:rsidTr="00FC5DAD">
        <w:trPr>
          <w:trHeight w:val="1702"/>
        </w:trPr>
        <w:tc>
          <w:tcPr>
            <w:tcW w:w="2410" w:type="dxa"/>
          </w:tcPr>
          <w:p w14:paraId="08D37AC5" w14:textId="77777777" w:rsidR="00B41BF4" w:rsidRPr="004E5F7F" w:rsidRDefault="008349EC" w:rsidP="000C7FB3">
            <w:pPr>
              <w:jc w:val="both"/>
            </w:pPr>
            <w:r>
              <w:rPr>
                <w:noProof/>
              </w:rPr>
              <w:object w:dxaOrig="1440" w:dyaOrig="1440" w14:anchorId="51F8E3EF">
                <v:shape id="_x0000_s1033" type="#_x0000_t75" style="position:absolute;left:0;text-align:left;margin-left:-3.75pt;margin-top:28.5pt;width:114pt;height:101.25pt;z-index:251694335;mso-position-horizontal-relative:text;mso-position-vertical-relative:text;mso-width-relative:page;mso-height-relative:page">
                  <v:imagedata r:id="rId29" o:title=""/>
                  <w10:wrap type="square"/>
                </v:shape>
                <o:OLEObject Type="Embed" ProgID="PBrush" ShapeID="_x0000_s1033" DrawAspect="Content" ObjectID="_1447656246" r:id="rId30"/>
              </w:object>
            </w:r>
          </w:p>
        </w:tc>
        <w:tc>
          <w:tcPr>
            <w:tcW w:w="6549" w:type="dxa"/>
            <w:shd w:val="clear" w:color="auto" w:fill="F2F2F2" w:themeFill="background1" w:themeFillShade="F2"/>
          </w:tcPr>
          <w:p w14:paraId="34198593" w14:textId="77777777" w:rsidR="00B41BF4" w:rsidRPr="00E46994" w:rsidRDefault="003C1CD4" w:rsidP="000C7FB3">
            <w:pPr>
              <w:jc w:val="both"/>
              <w:rPr>
                <w:sz w:val="20"/>
              </w:rPr>
            </w:pPr>
            <w:r w:rsidRPr="00E46994">
              <w:rPr>
                <w:sz w:val="20"/>
              </w:rPr>
              <w:t>Por c</w:t>
            </w:r>
            <w:r w:rsidR="000F3F40" w:rsidRPr="00E46994">
              <w:rPr>
                <w:sz w:val="20"/>
              </w:rPr>
              <w:t xml:space="preserve">umplimiento </w:t>
            </w:r>
            <w:r w:rsidRPr="00E46994">
              <w:rPr>
                <w:sz w:val="20"/>
              </w:rPr>
              <w:t xml:space="preserve">y </w:t>
            </w:r>
            <w:r w:rsidR="000F3F40" w:rsidRPr="00E46994">
              <w:rPr>
                <w:sz w:val="20"/>
              </w:rPr>
              <w:t>pago de</w:t>
            </w:r>
            <w:r w:rsidRPr="00E46994">
              <w:rPr>
                <w:sz w:val="20"/>
              </w:rPr>
              <w:t xml:space="preserve"> sentencias se entiende </w:t>
            </w:r>
            <w:r w:rsidR="00317BFB">
              <w:rPr>
                <w:sz w:val="20"/>
              </w:rPr>
              <w:t xml:space="preserve">el deber del Estado de atender la parte resolutiva de las providencias judiciales y arbitrales en cuento a las obligaciones de hacer y/o pagar oportunamente una suma de dinero. </w:t>
            </w:r>
          </w:p>
          <w:p w14:paraId="5226201C" w14:textId="77777777" w:rsidR="00550662" w:rsidRDefault="00550662" w:rsidP="000C7FB3">
            <w:pPr>
              <w:jc w:val="both"/>
              <w:rPr>
                <w:b/>
                <w:sz w:val="20"/>
              </w:rPr>
            </w:pPr>
          </w:p>
          <w:p w14:paraId="1BAAA57F" w14:textId="77777777" w:rsidR="00B41BF4" w:rsidRDefault="00B41BF4" w:rsidP="000C7FB3">
            <w:pPr>
              <w:jc w:val="both"/>
              <w:rPr>
                <w:b/>
                <w:sz w:val="20"/>
              </w:rPr>
            </w:pPr>
            <w:r w:rsidRPr="009B3F8D">
              <w:rPr>
                <w:b/>
                <w:sz w:val="20"/>
              </w:rPr>
              <w:t>Impacto:</w:t>
            </w:r>
          </w:p>
          <w:p w14:paraId="7C9BAC02" w14:textId="77777777" w:rsidR="00B41BF4" w:rsidRPr="00AA12B6" w:rsidRDefault="00B41BF4" w:rsidP="002D4471">
            <w:pPr>
              <w:pStyle w:val="Prrafodelista"/>
              <w:numPr>
                <w:ilvl w:val="0"/>
                <w:numId w:val="2"/>
              </w:numPr>
              <w:ind w:left="0" w:firstLine="0"/>
              <w:jc w:val="both"/>
              <w:rPr>
                <w:b/>
                <w:sz w:val="20"/>
                <w:szCs w:val="20"/>
              </w:rPr>
            </w:pPr>
            <w:r w:rsidRPr="00AA12B6">
              <w:rPr>
                <w:b/>
                <w:sz w:val="20"/>
                <w:szCs w:val="20"/>
              </w:rPr>
              <w:t>Mejora en la Gestión del Ciclo de Defensa Jurídica</w:t>
            </w:r>
          </w:p>
          <w:p w14:paraId="7B22D5BD" w14:textId="77777777" w:rsidR="00B41BF4" w:rsidRPr="00AA12B6" w:rsidRDefault="00B41BF4" w:rsidP="000C7FB3">
            <w:pPr>
              <w:jc w:val="both"/>
              <w:rPr>
                <w:b/>
                <w:sz w:val="20"/>
                <w:szCs w:val="20"/>
              </w:rPr>
            </w:pPr>
          </w:p>
          <w:p w14:paraId="026EAE2C" w14:textId="77777777" w:rsidR="00B41BF4" w:rsidRPr="00AA12B6" w:rsidRDefault="00B41BF4" w:rsidP="000C7FB3">
            <w:pPr>
              <w:jc w:val="both"/>
              <w:rPr>
                <w:b/>
                <w:sz w:val="20"/>
                <w:szCs w:val="20"/>
              </w:rPr>
            </w:pPr>
            <w:r w:rsidRPr="00AA12B6">
              <w:rPr>
                <w:b/>
                <w:sz w:val="20"/>
                <w:szCs w:val="20"/>
              </w:rPr>
              <w:t xml:space="preserve">Metas 2017: </w:t>
            </w:r>
          </w:p>
          <w:p w14:paraId="6B1C80DC" w14:textId="77777777" w:rsidR="00B41BF4" w:rsidRPr="00AA12B6" w:rsidRDefault="00B41BF4" w:rsidP="002D4471">
            <w:pPr>
              <w:pStyle w:val="Prrafodelista"/>
              <w:numPr>
                <w:ilvl w:val="0"/>
                <w:numId w:val="3"/>
              </w:numPr>
              <w:ind w:left="0" w:firstLine="0"/>
              <w:jc w:val="both"/>
              <w:rPr>
                <w:b/>
                <w:sz w:val="20"/>
                <w:szCs w:val="20"/>
              </w:rPr>
            </w:pPr>
            <w:r w:rsidRPr="00AA12B6">
              <w:rPr>
                <w:b/>
                <w:sz w:val="20"/>
                <w:szCs w:val="20"/>
              </w:rPr>
              <w:t xml:space="preserve">Reducir el flujo anual de pagos por sentencias </w:t>
            </w:r>
            <w:r w:rsidRPr="00AA12B6">
              <w:rPr>
                <w:sz w:val="20"/>
                <w:szCs w:val="20"/>
              </w:rPr>
              <w:t>de todas las entidades del orden nacional</w:t>
            </w:r>
          </w:p>
          <w:p w14:paraId="3F885E94" w14:textId="77777777" w:rsidR="00B41BF4" w:rsidRPr="00AA12B6" w:rsidRDefault="00B41BF4" w:rsidP="002D4471">
            <w:pPr>
              <w:pStyle w:val="Prrafodelista"/>
              <w:numPr>
                <w:ilvl w:val="0"/>
                <w:numId w:val="3"/>
              </w:numPr>
              <w:ind w:left="0" w:firstLine="0"/>
              <w:rPr>
                <w:b/>
                <w:sz w:val="20"/>
                <w:szCs w:val="20"/>
              </w:rPr>
            </w:pPr>
            <w:r w:rsidRPr="00AA12B6">
              <w:rPr>
                <w:b/>
                <w:sz w:val="20"/>
                <w:szCs w:val="20"/>
              </w:rPr>
              <w:t xml:space="preserve">90% </w:t>
            </w:r>
            <w:r w:rsidRPr="00AA12B6">
              <w:rPr>
                <w:sz w:val="20"/>
                <w:szCs w:val="20"/>
              </w:rPr>
              <w:t>de las Entidades del Orden Nacional</w:t>
            </w:r>
            <w:r w:rsidRPr="00AA12B6">
              <w:rPr>
                <w:b/>
                <w:sz w:val="20"/>
                <w:szCs w:val="20"/>
              </w:rPr>
              <w:t xml:space="preserve"> registrando el tiempo trascurrido para el pago de sentencias y conciliaciones</w:t>
            </w:r>
          </w:p>
          <w:p w14:paraId="6DA11879" w14:textId="77777777" w:rsidR="00B41BF4" w:rsidRPr="00AA12B6" w:rsidRDefault="00B41BF4" w:rsidP="000C7FB3">
            <w:pPr>
              <w:jc w:val="both"/>
            </w:pPr>
          </w:p>
        </w:tc>
      </w:tr>
      <w:tr w:rsidR="00B41BF4" w:rsidRPr="004E5F7F" w14:paraId="4DC8DCE6" w14:textId="77777777" w:rsidTr="00E46994">
        <w:tc>
          <w:tcPr>
            <w:tcW w:w="2410" w:type="dxa"/>
            <w:shd w:val="clear" w:color="auto" w:fill="95B3D7" w:themeFill="accent1" w:themeFillTint="99"/>
          </w:tcPr>
          <w:p w14:paraId="7C212567" w14:textId="77777777" w:rsidR="00B41BF4" w:rsidRPr="004E5F7F" w:rsidRDefault="00B41BF4" w:rsidP="000C7FB3">
            <w:pPr>
              <w:jc w:val="center"/>
              <w:rPr>
                <w:b/>
              </w:rPr>
            </w:pPr>
          </w:p>
          <w:p w14:paraId="1EA4DE73" w14:textId="77777777" w:rsidR="00B41BF4" w:rsidRPr="004E5F7F" w:rsidRDefault="00B41BF4" w:rsidP="000C7FB3">
            <w:pPr>
              <w:jc w:val="center"/>
              <w:rPr>
                <w:b/>
              </w:rPr>
            </w:pPr>
          </w:p>
          <w:p w14:paraId="35F6A956" w14:textId="77777777" w:rsidR="00B41BF4" w:rsidRPr="004E5F7F" w:rsidRDefault="00B41BF4" w:rsidP="000C7FB3">
            <w:pPr>
              <w:jc w:val="center"/>
              <w:rPr>
                <w:b/>
              </w:rPr>
            </w:pPr>
          </w:p>
          <w:p w14:paraId="52CB0DA0" w14:textId="77777777" w:rsidR="00B41BF4" w:rsidRPr="004E5F7F" w:rsidRDefault="00B41BF4" w:rsidP="000C7FB3">
            <w:pPr>
              <w:jc w:val="center"/>
              <w:rPr>
                <w:b/>
              </w:rPr>
            </w:pPr>
          </w:p>
          <w:p w14:paraId="52D6949B" w14:textId="77777777" w:rsidR="00B41BF4" w:rsidRPr="004E5F7F" w:rsidRDefault="00B41BF4" w:rsidP="000C7FB3">
            <w:pPr>
              <w:jc w:val="center"/>
              <w:rPr>
                <w:b/>
              </w:rPr>
            </w:pPr>
          </w:p>
          <w:p w14:paraId="0D0FE437" w14:textId="77777777" w:rsidR="00B41BF4" w:rsidRPr="004E5F7F" w:rsidRDefault="00B41BF4" w:rsidP="000C7FB3">
            <w:pPr>
              <w:jc w:val="center"/>
              <w:rPr>
                <w:b/>
              </w:rPr>
            </w:pPr>
          </w:p>
          <w:p w14:paraId="35B2C6A8" w14:textId="77777777" w:rsidR="00B41BF4" w:rsidRPr="004E5F7F" w:rsidRDefault="00B41BF4" w:rsidP="000C7FB3">
            <w:pPr>
              <w:jc w:val="center"/>
              <w:rPr>
                <w:b/>
              </w:rPr>
            </w:pPr>
            <w:r w:rsidRPr="004E5F7F">
              <w:rPr>
                <w:b/>
              </w:rPr>
              <w:t>DIRECCION DE GESTIÓN DE INFORMACIÓN</w:t>
            </w:r>
          </w:p>
        </w:tc>
        <w:tc>
          <w:tcPr>
            <w:tcW w:w="6549" w:type="dxa"/>
          </w:tcPr>
          <w:p w14:paraId="267BE91C" w14:textId="77777777" w:rsidR="00B41BF4" w:rsidRDefault="00B41BF4" w:rsidP="002D4471">
            <w:pPr>
              <w:pStyle w:val="Prrafodelista"/>
              <w:numPr>
                <w:ilvl w:val="0"/>
                <w:numId w:val="1"/>
              </w:numPr>
              <w:ind w:left="0" w:firstLine="0"/>
              <w:jc w:val="both"/>
              <w:rPr>
                <w:sz w:val="20"/>
              </w:rPr>
            </w:pPr>
            <w:r w:rsidRPr="00AA12B6">
              <w:rPr>
                <w:b/>
                <w:sz w:val="20"/>
              </w:rPr>
              <w:t>Acción</w:t>
            </w:r>
            <w:r w:rsidRPr="00AA12B6">
              <w:rPr>
                <w:sz w:val="20"/>
              </w:rPr>
              <w:t xml:space="preserve">: </w:t>
            </w:r>
            <w:r w:rsidRPr="00AA12B6">
              <w:rPr>
                <w:b/>
                <w:i/>
                <w:sz w:val="20"/>
              </w:rPr>
              <w:t>Diseño y puesta en marcha del módulo "Pagos y cumplimiento de sentencias".</w:t>
            </w:r>
            <w:r w:rsidRPr="00AA12B6">
              <w:rPr>
                <w:b/>
                <w:sz w:val="20"/>
              </w:rPr>
              <w:t xml:space="preserve"> Objetivo:</w:t>
            </w:r>
            <w:r w:rsidRPr="00AA12B6">
              <w:rPr>
                <w:sz w:val="20"/>
              </w:rPr>
              <w:t xml:space="preserve"> La DGI trabaja en el diseño y puesta en marcha del módulo "Pagos y cumplimiento de sentencias", con el fin de generar mecanismos de gestión respecto del pago de sentencias y conciliaciones. </w:t>
            </w:r>
            <w:r w:rsidRPr="00AA12B6">
              <w:rPr>
                <w:b/>
                <w:sz w:val="20"/>
              </w:rPr>
              <w:t xml:space="preserve">Impacto: </w:t>
            </w:r>
            <w:r w:rsidRPr="00AA12B6">
              <w:rPr>
                <w:sz w:val="20"/>
              </w:rPr>
              <w:t>Disminuir el tiempo de pago, reducir los recursos que se pagan por intereses de mora y vigilar el cumplimiento de las sentencias en aras de la protección de los derechos de los ciudadanos y el patrimonio público.</w:t>
            </w:r>
          </w:p>
          <w:p w14:paraId="7AAA94FC" w14:textId="77777777" w:rsidR="00B41BF4" w:rsidRPr="00AA12B6" w:rsidRDefault="00B41BF4" w:rsidP="000C7FB3">
            <w:pPr>
              <w:pStyle w:val="Prrafodelista"/>
              <w:ind w:left="0"/>
              <w:jc w:val="both"/>
              <w:rPr>
                <w:sz w:val="20"/>
              </w:rPr>
            </w:pPr>
          </w:p>
          <w:p w14:paraId="7D228220" w14:textId="77777777" w:rsidR="00B41BF4" w:rsidRPr="00AA12B6" w:rsidRDefault="00B41BF4" w:rsidP="002D4471">
            <w:pPr>
              <w:pStyle w:val="Prrafodelista"/>
              <w:numPr>
                <w:ilvl w:val="0"/>
                <w:numId w:val="1"/>
              </w:numPr>
              <w:ind w:left="0" w:firstLine="0"/>
              <w:jc w:val="both"/>
            </w:pPr>
            <w:r w:rsidRPr="00AA12B6">
              <w:rPr>
                <w:b/>
                <w:sz w:val="20"/>
              </w:rPr>
              <w:t xml:space="preserve">Acción: </w:t>
            </w:r>
            <w:r w:rsidRPr="00AA12B6">
              <w:rPr>
                <w:b/>
                <w:i/>
                <w:sz w:val="20"/>
              </w:rPr>
              <w:t>Elaboración de la encuesta de evaluación de gestión del ciclo de defensa jurídica</w:t>
            </w:r>
            <w:r w:rsidRPr="00AA12B6">
              <w:rPr>
                <w:sz w:val="20"/>
              </w:rPr>
              <w:t>.</w:t>
            </w:r>
            <w:r w:rsidRPr="00AA12B6">
              <w:rPr>
                <w:b/>
                <w:sz w:val="20"/>
              </w:rPr>
              <w:t xml:space="preserve"> Objetivo:</w:t>
            </w:r>
            <w:r w:rsidRPr="00AA12B6">
              <w:rPr>
                <w:sz w:val="20"/>
              </w:rPr>
              <w:t xml:space="preserve"> A través de la encuesta de evaluación del ciclo de defensa jurídica la DGI busca que en lo relacionado con el cumplimiento de pagos y sentencias se identifique el grado de madurez de las entidades frente a la gestión de pagos de sentencias y conciliaciones. </w:t>
            </w:r>
            <w:r w:rsidRPr="00AA12B6">
              <w:rPr>
                <w:b/>
                <w:sz w:val="20"/>
              </w:rPr>
              <w:t xml:space="preserve">Impacto: </w:t>
            </w:r>
            <w:r w:rsidRPr="00AA12B6">
              <w:rPr>
                <w:sz w:val="20"/>
              </w:rPr>
              <w:t>Mejorar la gestión del proceso y reducir el impacto fiscal asociado a la mora en pagos.</w:t>
            </w:r>
          </w:p>
          <w:p w14:paraId="2FE70C1F" w14:textId="77777777" w:rsidR="00B41BF4" w:rsidRPr="00AA12B6" w:rsidRDefault="00B41BF4" w:rsidP="000C7FB3">
            <w:pPr>
              <w:jc w:val="both"/>
            </w:pPr>
          </w:p>
        </w:tc>
      </w:tr>
      <w:tr w:rsidR="00B41BF4" w:rsidRPr="004E5F7F" w14:paraId="35F33F00" w14:textId="77777777" w:rsidTr="00E46994">
        <w:tc>
          <w:tcPr>
            <w:tcW w:w="2410" w:type="dxa"/>
            <w:shd w:val="clear" w:color="auto" w:fill="B2A1C7" w:themeFill="accent4" w:themeFillTint="99"/>
          </w:tcPr>
          <w:p w14:paraId="2DCF4304" w14:textId="77777777" w:rsidR="0058715C" w:rsidRDefault="0058715C" w:rsidP="000C7FB3">
            <w:pPr>
              <w:jc w:val="center"/>
              <w:rPr>
                <w:b/>
              </w:rPr>
            </w:pPr>
          </w:p>
          <w:p w14:paraId="034AB3AB" w14:textId="77777777" w:rsidR="0058715C" w:rsidRDefault="0058715C" w:rsidP="000C7FB3">
            <w:pPr>
              <w:jc w:val="center"/>
              <w:rPr>
                <w:b/>
              </w:rPr>
            </w:pPr>
          </w:p>
          <w:p w14:paraId="63DB57F9" w14:textId="77777777" w:rsidR="0058715C" w:rsidRDefault="0058715C" w:rsidP="000C7FB3">
            <w:pPr>
              <w:jc w:val="center"/>
              <w:rPr>
                <w:b/>
              </w:rPr>
            </w:pPr>
          </w:p>
          <w:p w14:paraId="70CAD5C8" w14:textId="77777777" w:rsidR="00B41BF4" w:rsidRPr="004E5F7F" w:rsidRDefault="00B41BF4" w:rsidP="000C7FB3">
            <w:pPr>
              <w:jc w:val="center"/>
            </w:pPr>
            <w:r>
              <w:rPr>
                <w:b/>
              </w:rPr>
              <w:t>DIRECCION DE POLÍTICAS Y ESTRATEGIAS</w:t>
            </w:r>
          </w:p>
        </w:tc>
        <w:tc>
          <w:tcPr>
            <w:tcW w:w="6549" w:type="dxa"/>
          </w:tcPr>
          <w:p w14:paraId="307840D5" w14:textId="77777777" w:rsidR="00B41BF4" w:rsidRPr="00376EC8" w:rsidRDefault="00B41BF4" w:rsidP="003445A7">
            <w:pPr>
              <w:pStyle w:val="Prrafodelista"/>
              <w:numPr>
                <w:ilvl w:val="0"/>
                <w:numId w:val="5"/>
              </w:numPr>
              <w:ind w:left="0" w:firstLine="0"/>
              <w:jc w:val="both"/>
            </w:pPr>
            <w:r w:rsidRPr="004B3201">
              <w:rPr>
                <w:b/>
                <w:sz w:val="20"/>
                <w:szCs w:val="20"/>
              </w:rPr>
              <w:t xml:space="preserve">Proyecto - Pago de sentencias y conciliaciones. Objetivo: </w:t>
            </w:r>
            <w:r w:rsidRPr="004B3201">
              <w:rPr>
                <w:sz w:val="20"/>
                <w:szCs w:val="20"/>
              </w:rPr>
              <w:t>implementar un instrumento de consulta actualizada de líneas jurisprudenciales para que los abogados de defensa jurídica, puedan anticipar la decisión judicial en el caso concreto y elaborar la correspondiente estrategia de defensa prejudicial y judicial, destacando providencias de interés.</w:t>
            </w:r>
            <w:r w:rsidRPr="004B3201">
              <w:rPr>
                <w:b/>
                <w:sz w:val="20"/>
                <w:szCs w:val="20"/>
              </w:rPr>
              <w:t xml:space="preserve"> Impacto:</w:t>
            </w:r>
            <w:r>
              <w:rPr>
                <w:b/>
                <w:sz w:val="20"/>
                <w:szCs w:val="20"/>
              </w:rPr>
              <w:t xml:space="preserve"> </w:t>
            </w:r>
            <w:r w:rsidRPr="002519B2">
              <w:rPr>
                <w:sz w:val="20"/>
                <w:szCs w:val="20"/>
              </w:rPr>
              <w:t>r</w:t>
            </w:r>
            <w:r w:rsidRPr="004B3201">
              <w:rPr>
                <w:sz w:val="20"/>
                <w:szCs w:val="20"/>
              </w:rPr>
              <w:t>educir los pagos por intereses de mora.</w:t>
            </w:r>
            <w:r>
              <w:rPr>
                <w:sz w:val="20"/>
                <w:szCs w:val="20"/>
              </w:rPr>
              <w:t xml:space="preserve"> </w:t>
            </w:r>
            <w:r>
              <w:rPr>
                <w:b/>
                <w:sz w:val="20"/>
                <w:szCs w:val="20"/>
              </w:rPr>
              <w:t>(T</w:t>
            </w:r>
            <w:r w:rsidRPr="004B3201">
              <w:rPr>
                <w:b/>
                <w:sz w:val="20"/>
                <w:szCs w:val="20"/>
              </w:rPr>
              <w:t>erminado).</w:t>
            </w:r>
          </w:p>
          <w:p w14:paraId="105C09DE" w14:textId="77777777" w:rsidR="00B41BF4" w:rsidRPr="00376EC8" w:rsidRDefault="00B41BF4" w:rsidP="003445A7">
            <w:pPr>
              <w:pStyle w:val="Prrafodelista"/>
              <w:numPr>
                <w:ilvl w:val="0"/>
                <w:numId w:val="5"/>
              </w:numPr>
              <w:ind w:left="0" w:firstLine="0"/>
              <w:jc w:val="both"/>
              <w:rPr>
                <w:b/>
                <w:sz w:val="20"/>
                <w:szCs w:val="20"/>
              </w:rPr>
            </w:pPr>
            <w:r w:rsidRPr="00376EC8">
              <w:rPr>
                <w:b/>
                <w:sz w:val="20"/>
                <w:szCs w:val="20"/>
              </w:rPr>
              <w:t>Complemento al proyecto de pagos de sentencias y conciliaciones</w:t>
            </w:r>
            <w:r>
              <w:rPr>
                <w:b/>
                <w:sz w:val="20"/>
                <w:szCs w:val="20"/>
              </w:rPr>
              <w:t xml:space="preserve">. </w:t>
            </w:r>
            <w:r w:rsidRPr="00376EC8">
              <w:rPr>
                <w:b/>
                <w:sz w:val="20"/>
                <w:szCs w:val="20"/>
              </w:rPr>
              <w:t>Objetivo</w:t>
            </w:r>
            <w:r w:rsidRPr="00376EC8">
              <w:rPr>
                <w:sz w:val="20"/>
                <w:szCs w:val="20"/>
              </w:rPr>
              <w:t>: reglamentar el proceso de pagos de sentencias y conciliaciones en el marco del Decreto 01 de 1984 y de la ley 1437 de 2011 ante la inexistencia de Fondo de contingencias.</w:t>
            </w:r>
            <w:r>
              <w:rPr>
                <w:sz w:val="20"/>
                <w:szCs w:val="20"/>
              </w:rPr>
              <w:t xml:space="preserve"> </w:t>
            </w:r>
            <w:r w:rsidRPr="00376EC8">
              <w:rPr>
                <w:b/>
                <w:sz w:val="20"/>
                <w:szCs w:val="20"/>
              </w:rPr>
              <w:t>(</w:t>
            </w:r>
            <w:r>
              <w:rPr>
                <w:b/>
                <w:sz w:val="20"/>
                <w:szCs w:val="20"/>
              </w:rPr>
              <w:t>E</w:t>
            </w:r>
            <w:r w:rsidRPr="00376EC8">
              <w:rPr>
                <w:b/>
                <w:sz w:val="20"/>
                <w:szCs w:val="20"/>
              </w:rPr>
              <w:t>n desarrollo).</w:t>
            </w:r>
          </w:p>
        </w:tc>
      </w:tr>
      <w:tr w:rsidR="00B41BF4" w:rsidRPr="004E5F7F" w14:paraId="2E2B944B" w14:textId="77777777" w:rsidTr="0058715C">
        <w:tc>
          <w:tcPr>
            <w:tcW w:w="2410" w:type="dxa"/>
            <w:shd w:val="clear" w:color="auto" w:fill="33CCCC"/>
          </w:tcPr>
          <w:p w14:paraId="4FC4A310" w14:textId="77777777" w:rsidR="0058715C" w:rsidRDefault="0058715C" w:rsidP="000C7FB3">
            <w:pPr>
              <w:jc w:val="both"/>
              <w:rPr>
                <w:b/>
              </w:rPr>
            </w:pPr>
          </w:p>
          <w:p w14:paraId="45B08244" w14:textId="77777777" w:rsidR="0058715C" w:rsidRDefault="0058715C" w:rsidP="000C7FB3">
            <w:pPr>
              <w:jc w:val="both"/>
              <w:rPr>
                <w:b/>
              </w:rPr>
            </w:pPr>
          </w:p>
          <w:p w14:paraId="1F82424C" w14:textId="77777777" w:rsidR="00B41BF4" w:rsidRPr="00B41BF4" w:rsidRDefault="00B41BF4" w:rsidP="0058715C">
            <w:pPr>
              <w:jc w:val="center"/>
              <w:rPr>
                <w:b/>
              </w:rPr>
            </w:pPr>
            <w:r w:rsidRPr="00B41BF4">
              <w:rPr>
                <w:b/>
              </w:rPr>
              <w:t>DIRECCION DE DEFENSA JURIDICA</w:t>
            </w:r>
          </w:p>
        </w:tc>
        <w:tc>
          <w:tcPr>
            <w:tcW w:w="6549" w:type="dxa"/>
          </w:tcPr>
          <w:p w14:paraId="63361E0C" w14:textId="77777777" w:rsidR="00B41BF4" w:rsidRPr="004E5F7F" w:rsidRDefault="00B41BF4" w:rsidP="000C7FB3">
            <w:pPr>
              <w:jc w:val="both"/>
            </w:pPr>
            <w:r w:rsidRPr="00B41BF4">
              <w:rPr>
                <w:b/>
              </w:rPr>
              <w:t xml:space="preserve">Acción: Acompañamiento en el pago de sentencias ejecutivas bajo el marco del Acuerdo 007 de 2012. </w:t>
            </w:r>
            <w:r w:rsidRPr="00B41BF4">
              <w:t xml:space="preserve">La DDJ ha venido realizando mesas de trabajo con Colpensiones,  el ISS en Liquidación y la Procuraduría General de la Nación a efectos de obtener el pago </w:t>
            </w:r>
            <w:r w:rsidRPr="00B41BF4">
              <w:lastRenderedPageBreak/>
              <w:t>de 11.400 sentencias ejecutivas y validar la existencia de  8.400 sentencias ejecutivas que a la fecha están pendientes.</w:t>
            </w:r>
          </w:p>
        </w:tc>
      </w:tr>
    </w:tbl>
    <w:p w14:paraId="58E4C43B" w14:textId="77777777" w:rsidR="00B41BF4" w:rsidRDefault="00B41BF4" w:rsidP="000C7FB3">
      <w:pPr>
        <w:spacing w:after="0"/>
        <w:jc w:val="both"/>
      </w:pPr>
    </w:p>
    <w:p w14:paraId="5B48F41B" w14:textId="77777777" w:rsidR="007E129E" w:rsidRPr="004E5F7F" w:rsidRDefault="007E129E" w:rsidP="000C7FB3">
      <w:pPr>
        <w:spacing w:after="0"/>
        <w:jc w:val="both"/>
      </w:pPr>
    </w:p>
    <w:p w14:paraId="18C9A67F" w14:textId="77777777" w:rsidR="001F04BC" w:rsidRPr="00E46994" w:rsidRDefault="001F04BC" w:rsidP="001F04BC">
      <w:pPr>
        <w:spacing w:after="0"/>
        <w:jc w:val="center"/>
        <w:rPr>
          <w:b/>
          <w:sz w:val="22"/>
          <w:szCs w:val="22"/>
        </w:rPr>
      </w:pPr>
      <w:r w:rsidRPr="00E46994">
        <w:rPr>
          <w:b/>
          <w:sz w:val="22"/>
          <w:szCs w:val="22"/>
        </w:rPr>
        <w:t xml:space="preserve">Tabla </w:t>
      </w:r>
      <w:r w:rsidR="004F12E8">
        <w:rPr>
          <w:b/>
          <w:sz w:val="22"/>
          <w:szCs w:val="22"/>
        </w:rPr>
        <w:t>19</w:t>
      </w:r>
      <w:r w:rsidR="007E129E">
        <w:rPr>
          <w:b/>
          <w:sz w:val="22"/>
          <w:szCs w:val="22"/>
        </w:rPr>
        <w:t>.</w:t>
      </w:r>
      <w:r w:rsidRPr="001F04BC">
        <w:rPr>
          <w:b/>
          <w:sz w:val="22"/>
          <w:szCs w:val="22"/>
        </w:rPr>
        <w:t xml:space="preserve"> </w:t>
      </w:r>
      <w:r w:rsidRPr="00E46994">
        <w:rPr>
          <w:b/>
          <w:sz w:val="22"/>
          <w:szCs w:val="22"/>
        </w:rPr>
        <w:t>Acción de repetición y recuperación del recurso público</w:t>
      </w:r>
      <w:r w:rsidR="00A20928">
        <w:rPr>
          <w:b/>
          <w:sz w:val="22"/>
          <w:szCs w:val="22"/>
        </w:rPr>
        <w:t xml:space="preserve"> dentro del ciclo de defensa</w:t>
      </w:r>
    </w:p>
    <w:p w14:paraId="0B052531" w14:textId="77777777" w:rsidR="001F04BC" w:rsidRPr="00E46994" w:rsidRDefault="001F04BC" w:rsidP="000C7FB3">
      <w:pPr>
        <w:spacing w:after="0"/>
        <w:jc w:val="both"/>
        <w:rPr>
          <w:b/>
        </w:rPr>
      </w:pPr>
    </w:p>
    <w:tbl>
      <w:tblPr>
        <w:tblStyle w:val="Tablaconcuadrcula"/>
        <w:tblW w:w="8959" w:type="dxa"/>
        <w:tblInd w:w="108" w:type="dxa"/>
        <w:tblLook w:val="04A0" w:firstRow="1" w:lastRow="0" w:firstColumn="1" w:lastColumn="0" w:noHBand="0" w:noVBand="1"/>
      </w:tblPr>
      <w:tblGrid>
        <w:gridCol w:w="2410"/>
        <w:gridCol w:w="6549"/>
      </w:tblGrid>
      <w:tr w:rsidR="00B41BF4" w:rsidRPr="004E5F7F" w14:paraId="22425B8A" w14:textId="77777777" w:rsidTr="00FC5DAD">
        <w:trPr>
          <w:trHeight w:val="1702"/>
        </w:trPr>
        <w:tc>
          <w:tcPr>
            <w:tcW w:w="2410" w:type="dxa"/>
          </w:tcPr>
          <w:p w14:paraId="5F706E1D" w14:textId="77777777" w:rsidR="00B41BF4" w:rsidRDefault="008349EC" w:rsidP="000C7FB3">
            <w:pPr>
              <w:jc w:val="both"/>
              <w:rPr>
                <w:sz w:val="24"/>
                <w:szCs w:val="24"/>
              </w:rPr>
            </w:pPr>
            <w:r>
              <w:rPr>
                <w:noProof/>
              </w:rPr>
              <w:object w:dxaOrig="1440" w:dyaOrig="1440" w14:anchorId="544D28DB">
                <v:shape id="_x0000_s1034" type="#_x0000_t75" style="position:absolute;left:0;text-align:left;margin-left:-.55pt;margin-top:21.75pt;width:109.5pt;height:105pt;z-index:251696383;mso-position-horizontal-relative:text;mso-position-vertical-relative:text;mso-width-relative:page;mso-height-relative:page">
                  <v:imagedata r:id="rId31" o:title=""/>
                  <w10:wrap type="square"/>
                </v:shape>
                <o:OLEObject Type="Embed" ProgID="PBrush" ShapeID="_x0000_s1034" DrawAspect="Content" ObjectID="_1447656247" r:id="rId32"/>
              </w:object>
            </w:r>
          </w:p>
          <w:p w14:paraId="773D39E8" w14:textId="77777777" w:rsidR="00FC5DAD" w:rsidRPr="004E5F7F" w:rsidRDefault="00FC5DAD" w:rsidP="000C7FB3">
            <w:pPr>
              <w:jc w:val="both"/>
            </w:pPr>
          </w:p>
        </w:tc>
        <w:tc>
          <w:tcPr>
            <w:tcW w:w="6549" w:type="dxa"/>
            <w:shd w:val="clear" w:color="auto" w:fill="F2F2F2" w:themeFill="background1" w:themeFillShade="F2"/>
          </w:tcPr>
          <w:p w14:paraId="02E35E4A" w14:textId="77777777" w:rsidR="00B41BF4" w:rsidRPr="00E46994" w:rsidRDefault="00550662" w:rsidP="000C7FB3">
            <w:pPr>
              <w:jc w:val="both"/>
              <w:rPr>
                <w:sz w:val="20"/>
              </w:rPr>
            </w:pPr>
            <w:r w:rsidRPr="00E46994">
              <w:rPr>
                <w:sz w:val="20"/>
              </w:rPr>
              <w:t>Se entiende por acción de repetición aquella que se ejerce</w:t>
            </w:r>
            <w:r w:rsidR="00192E6B">
              <w:rPr>
                <w:sz w:val="20"/>
              </w:rPr>
              <w:t xml:space="preserve"> por el Estado</w:t>
            </w:r>
            <w:r w:rsidRPr="00E46994">
              <w:rPr>
                <w:sz w:val="20"/>
              </w:rPr>
              <w:t xml:space="preserve"> contra </w:t>
            </w:r>
            <w:r w:rsidR="00192E6B">
              <w:rPr>
                <w:sz w:val="20"/>
              </w:rPr>
              <w:t xml:space="preserve">el </w:t>
            </w:r>
            <w:r w:rsidRPr="00E46994">
              <w:rPr>
                <w:sz w:val="20"/>
              </w:rPr>
              <w:t xml:space="preserve">funcionario </w:t>
            </w:r>
            <w:r w:rsidR="00192E6B">
              <w:rPr>
                <w:sz w:val="20"/>
              </w:rPr>
              <w:t xml:space="preserve">o servidor público </w:t>
            </w:r>
            <w:r w:rsidRPr="00E46994">
              <w:rPr>
                <w:sz w:val="20"/>
              </w:rPr>
              <w:t>responsable de l</w:t>
            </w:r>
            <w:r w:rsidR="00192E6B">
              <w:rPr>
                <w:sz w:val="20"/>
              </w:rPr>
              <w:t xml:space="preserve">as indemnizaciones que deba pagar la Administración </w:t>
            </w:r>
            <w:r w:rsidRPr="00E46994">
              <w:rPr>
                <w:sz w:val="20"/>
              </w:rPr>
              <w:t xml:space="preserve"> cau</w:t>
            </w:r>
            <w:r w:rsidR="00192E6B">
              <w:rPr>
                <w:sz w:val="20"/>
              </w:rPr>
              <w:t xml:space="preserve">sadas </w:t>
            </w:r>
            <w:r w:rsidRPr="00E46994">
              <w:rPr>
                <w:sz w:val="20"/>
              </w:rPr>
              <w:t>por culpa grave o dolo en el ejercicio de sus funciones</w:t>
            </w:r>
            <w:r w:rsidR="00192E6B">
              <w:rPr>
                <w:sz w:val="20"/>
              </w:rPr>
              <w:t>.</w:t>
            </w:r>
          </w:p>
          <w:p w14:paraId="67A4EAA9" w14:textId="77777777" w:rsidR="00B41BF4" w:rsidRPr="00E46994" w:rsidRDefault="00B41BF4" w:rsidP="000C7FB3">
            <w:pPr>
              <w:jc w:val="both"/>
              <w:rPr>
                <w:sz w:val="20"/>
              </w:rPr>
            </w:pPr>
          </w:p>
          <w:p w14:paraId="3CCB54ED" w14:textId="77777777" w:rsidR="00B41BF4" w:rsidRDefault="00B41BF4" w:rsidP="000C7FB3">
            <w:pPr>
              <w:jc w:val="both"/>
              <w:rPr>
                <w:b/>
                <w:sz w:val="20"/>
              </w:rPr>
            </w:pPr>
            <w:r w:rsidRPr="009B3F8D">
              <w:rPr>
                <w:b/>
                <w:sz w:val="20"/>
              </w:rPr>
              <w:t>Impacto:</w:t>
            </w:r>
          </w:p>
          <w:p w14:paraId="5F85D86B" w14:textId="77777777" w:rsidR="00FC5DAD" w:rsidRDefault="00FC5DAD" w:rsidP="000C7FB3">
            <w:pPr>
              <w:jc w:val="both"/>
              <w:rPr>
                <w:b/>
                <w:sz w:val="20"/>
              </w:rPr>
            </w:pPr>
          </w:p>
          <w:p w14:paraId="2CCC7649" w14:textId="77777777" w:rsidR="00B41BF4" w:rsidRPr="00532C68" w:rsidRDefault="00B41BF4" w:rsidP="002D4471">
            <w:pPr>
              <w:pStyle w:val="Prrafodelista"/>
              <w:numPr>
                <w:ilvl w:val="0"/>
                <w:numId w:val="4"/>
              </w:numPr>
              <w:ind w:left="0" w:firstLine="0"/>
              <w:jc w:val="both"/>
              <w:rPr>
                <w:b/>
                <w:sz w:val="20"/>
                <w:szCs w:val="20"/>
              </w:rPr>
            </w:pPr>
            <w:r w:rsidRPr="00532C68">
              <w:rPr>
                <w:b/>
                <w:sz w:val="20"/>
                <w:szCs w:val="20"/>
              </w:rPr>
              <w:t>Mejora en la Gestión del Ciclo de Defensa Jurídica</w:t>
            </w:r>
          </w:p>
          <w:p w14:paraId="3AE29A33" w14:textId="77777777" w:rsidR="00B41BF4" w:rsidRPr="004E5F7F" w:rsidRDefault="00B41BF4" w:rsidP="00E46994">
            <w:pPr>
              <w:jc w:val="both"/>
            </w:pPr>
            <w:r w:rsidRPr="00AA12B6">
              <w:rPr>
                <w:b/>
                <w:sz w:val="20"/>
                <w:szCs w:val="20"/>
              </w:rPr>
              <w:t xml:space="preserve"> </w:t>
            </w:r>
          </w:p>
        </w:tc>
      </w:tr>
      <w:tr w:rsidR="00B41BF4" w:rsidRPr="004E5F7F" w14:paraId="0672139F" w14:textId="77777777" w:rsidTr="00E46994">
        <w:tc>
          <w:tcPr>
            <w:tcW w:w="2410" w:type="dxa"/>
            <w:shd w:val="clear" w:color="auto" w:fill="95B3D7" w:themeFill="accent1" w:themeFillTint="99"/>
          </w:tcPr>
          <w:p w14:paraId="66BE7BC5" w14:textId="77777777" w:rsidR="00B41BF4" w:rsidRPr="004E5F7F" w:rsidRDefault="00B41BF4" w:rsidP="000C7FB3">
            <w:pPr>
              <w:jc w:val="center"/>
              <w:rPr>
                <w:b/>
              </w:rPr>
            </w:pPr>
          </w:p>
          <w:p w14:paraId="349F2F13" w14:textId="77777777" w:rsidR="00B41BF4" w:rsidRPr="004E5F7F" w:rsidRDefault="00B41BF4" w:rsidP="000C7FB3">
            <w:pPr>
              <w:jc w:val="center"/>
              <w:rPr>
                <w:b/>
              </w:rPr>
            </w:pPr>
          </w:p>
          <w:p w14:paraId="59DDC511" w14:textId="77777777" w:rsidR="00B41BF4" w:rsidRPr="004E5F7F" w:rsidRDefault="00B41BF4" w:rsidP="0058715C">
            <w:pPr>
              <w:rPr>
                <w:b/>
              </w:rPr>
            </w:pPr>
          </w:p>
          <w:p w14:paraId="2BDDFCDC" w14:textId="77777777" w:rsidR="00B41BF4" w:rsidRPr="004E5F7F" w:rsidRDefault="00B41BF4" w:rsidP="000C7FB3">
            <w:pPr>
              <w:jc w:val="center"/>
              <w:rPr>
                <w:b/>
              </w:rPr>
            </w:pPr>
          </w:p>
          <w:p w14:paraId="7E3A5C09" w14:textId="77777777" w:rsidR="00B41BF4" w:rsidRPr="004E5F7F" w:rsidRDefault="00B41BF4" w:rsidP="000C7FB3">
            <w:pPr>
              <w:jc w:val="center"/>
              <w:rPr>
                <w:b/>
              </w:rPr>
            </w:pPr>
            <w:r w:rsidRPr="004E5F7F">
              <w:rPr>
                <w:b/>
              </w:rPr>
              <w:t>DIRECCION DE GESTIÓN DE INFORMACIÓN</w:t>
            </w:r>
          </w:p>
        </w:tc>
        <w:tc>
          <w:tcPr>
            <w:tcW w:w="6549" w:type="dxa"/>
          </w:tcPr>
          <w:p w14:paraId="1FE9B67D" w14:textId="77777777" w:rsidR="00B41BF4" w:rsidRDefault="00B41BF4" w:rsidP="003445A7">
            <w:pPr>
              <w:pStyle w:val="Prrafodelista"/>
              <w:numPr>
                <w:ilvl w:val="0"/>
                <w:numId w:val="21"/>
              </w:numPr>
              <w:ind w:left="317"/>
              <w:jc w:val="both"/>
              <w:rPr>
                <w:sz w:val="20"/>
                <w:szCs w:val="20"/>
              </w:rPr>
            </w:pPr>
            <w:r w:rsidRPr="00E35227">
              <w:rPr>
                <w:b/>
                <w:sz w:val="20"/>
                <w:szCs w:val="20"/>
              </w:rPr>
              <w:t>Acción</w:t>
            </w:r>
            <w:r w:rsidRPr="00E35227">
              <w:rPr>
                <w:sz w:val="20"/>
                <w:szCs w:val="20"/>
              </w:rPr>
              <w:t xml:space="preserve">: </w:t>
            </w:r>
            <w:r w:rsidRPr="00E35227">
              <w:rPr>
                <w:b/>
                <w:i/>
                <w:sz w:val="20"/>
                <w:szCs w:val="20"/>
              </w:rPr>
              <w:t>Actualización de la información contenida en el Sistema Único de Gestión e Información de la Actividad Litigiosa del Estado.</w:t>
            </w:r>
            <w:r w:rsidRPr="00E35227">
              <w:rPr>
                <w:b/>
                <w:sz w:val="20"/>
                <w:szCs w:val="20"/>
              </w:rPr>
              <w:t xml:space="preserve"> Objetivo:</w:t>
            </w:r>
            <w:r w:rsidRPr="00E35227">
              <w:rPr>
                <w:sz w:val="20"/>
                <w:szCs w:val="20"/>
              </w:rPr>
              <w:t xml:space="preserve"> A través de la expedición de la Circular Externa 4 de 2013, se solicita a las entidades del orden nacional y aquellas privadas que administran recursos públicos actualizar en el Sistema Único de Gestión e Información de la Actividad Litigiosa del Estado la información de la actividad litigiosa de su entidad, con el propósito de contar con información sobre las sentencias y conciliaciones en las cuales el fallo ha sido desfavorable a los intereses de la Nación, así como reportar todas aquellas acciones de repetición que se encuentran activas. </w:t>
            </w:r>
            <w:r w:rsidRPr="00E35227">
              <w:rPr>
                <w:b/>
                <w:sz w:val="20"/>
                <w:szCs w:val="20"/>
              </w:rPr>
              <w:t xml:space="preserve">Impacto: </w:t>
            </w:r>
            <w:r w:rsidRPr="00E35227">
              <w:rPr>
                <w:sz w:val="20"/>
                <w:szCs w:val="20"/>
              </w:rPr>
              <w:t xml:space="preserve">Recuperar recursos públicos a través del impulso de la acción de repetición. </w:t>
            </w:r>
          </w:p>
          <w:p w14:paraId="640A9E91" w14:textId="77777777" w:rsidR="00192E6B" w:rsidRPr="00E35227" w:rsidRDefault="00192E6B" w:rsidP="003445A7">
            <w:pPr>
              <w:pStyle w:val="Prrafodelista"/>
              <w:numPr>
                <w:ilvl w:val="0"/>
                <w:numId w:val="21"/>
              </w:numPr>
              <w:ind w:left="317"/>
              <w:jc w:val="both"/>
              <w:rPr>
                <w:sz w:val="20"/>
                <w:szCs w:val="20"/>
              </w:rPr>
            </w:pPr>
          </w:p>
        </w:tc>
      </w:tr>
      <w:tr w:rsidR="00B41BF4" w:rsidRPr="004E5F7F" w14:paraId="298C55D9" w14:textId="77777777" w:rsidTr="00E46994">
        <w:tc>
          <w:tcPr>
            <w:tcW w:w="2410" w:type="dxa"/>
            <w:shd w:val="clear" w:color="auto" w:fill="C2D69B" w:themeFill="accent3" w:themeFillTint="99"/>
          </w:tcPr>
          <w:p w14:paraId="6167604D" w14:textId="77777777" w:rsidR="0058715C" w:rsidRDefault="0058715C" w:rsidP="00E46994">
            <w:pPr>
              <w:jc w:val="center"/>
              <w:rPr>
                <w:b/>
              </w:rPr>
            </w:pPr>
          </w:p>
          <w:p w14:paraId="55E643E3" w14:textId="77777777" w:rsidR="0058715C" w:rsidRDefault="0058715C" w:rsidP="00E46994">
            <w:pPr>
              <w:jc w:val="center"/>
              <w:rPr>
                <w:b/>
              </w:rPr>
            </w:pPr>
          </w:p>
          <w:p w14:paraId="7DC7341A" w14:textId="77777777" w:rsidR="0058715C" w:rsidRDefault="0058715C" w:rsidP="00E46994">
            <w:pPr>
              <w:jc w:val="center"/>
              <w:rPr>
                <w:b/>
              </w:rPr>
            </w:pPr>
          </w:p>
          <w:p w14:paraId="5E26C513" w14:textId="77777777" w:rsidR="0058715C" w:rsidRDefault="0058715C" w:rsidP="00E46994">
            <w:pPr>
              <w:jc w:val="center"/>
              <w:rPr>
                <w:b/>
              </w:rPr>
            </w:pPr>
          </w:p>
          <w:p w14:paraId="10635F05" w14:textId="77777777" w:rsidR="0058715C" w:rsidRDefault="0058715C" w:rsidP="00E46994">
            <w:pPr>
              <w:jc w:val="center"/>
              <w:rPr>
                <w:b/>
              </w:rPr>
            </w:pPr>
          </w:p>
          <w:p w14:paraId="4F40F29F" w14:textId="77777777" w:rsidR="00B41BF4" w:rsidRPr="004E5F7F" w:rsidRDefault="00B41BF4" w:rsidP="00E46994">
            <w:pPr>
              <w:jc w:val="center"/>
            </w:pPr>
            <w:r w:rsidRPr="004E5F7F">
              <w:rPr>
                <w:b/>
              </w:rPr>
              <w:t>DIRECCI</w:t>
            </w:r>
            <w:r w:rsidR="00192E6B">
              <w:rPr>
                <w:b/>
              </w:rPr>
              <w:t>Ó</w:t>
            </w:r>
            <w:r w:rsidRPr="004E5F7F">
              <w:rPr>
                <w:b/>
              </w:rPr>
              <w:t>N D</w:t>
            </w:r>
            <w:r w:rsidR="00192E6B">
              <w:rPr>
                <w:b/>
              </w:rPr>
              <w:t>E</w:t>
            </w:r>
            <w:r>
              <w:rPr>
                <w:b/>
              </w:rPr>
              <w:t xml:space="preserve"> DEFENSA JURIDICA</w:t>
            </w:r>
          </w:p>
        </w:tc>
        <w:tc>
          <w:tcPr>
            <w:tcW w:w="6549" w:type="dxa"/>
          </w:tcPr>
          <w:p w14:paraId="09A89342" w14:textId="77777777" w:rsidR="00B41BF4" w:rsidRPr="00E35227" w:rsidRDefault="00B41BF4" w:rsidP="003445A7">
            <w:pPr>
              <w:numPr>
                <w:ilvl w:val="0"/>
                <w:numId w:val="21"/>
              </w:numPr>
              <w:ind w:left="317"/>
              <w:jc w:val="both"/>
              <w:rPr>
                <w:sz w:val="20"/>
                <w:szCs w:val="20"/>
              </w:rPr>
            </w:pPr>
            <w:r w:rsidRPr="00E35227">
              <w:rPr>
                <w:b/>
                <w:sz w:val="20"/>
                <w:szCs w:val="20"/>
              </w:rPr>
              <w:t xml:space="preserve">Acción: Fijación de lineamientos. </w:t>
            </w:r>
            <w:r w:rsidRPr="00E35227">
              <w:rPr>
                <w:sz w:val="20"/>
                <w:szCs w:val="20"/>
              </w:rPr>
              <w:t>La DDJ expidió lineamientos para el ejercicio de la Acción de Repetición en las entidades del Orden Nacional.</w:t>
            </w:r>
          </w:p>
          <w:p w14:paraId="2326081F" w14:textId="77777777" w:rsidR="00B41BF4" w:rsidRPr="00E35227" w:rsidRDefault="00B41BF4" w:rsidP="003445A7">
            <w:pPr>
              <w:numPr>
                <w:ilvl w:val="0"/>
                <w:numId w:val="21"/>
              </w:numPr>
              <w:ind w:left="317"/>
              <w:jc w:val="both"/>
              <w:rPr>
                <w:sz w:val="20"/>
                <w:szCs w:val="20"/>
              </w:rPr>
            </w:pPr>
            <w:r w:rsidRPr="00E35227">
              <w:rPr>
                <w:b/>
                <w:sz w:val="20"/>
                <w:szCs w:val="20"/>
              </w:rPr>
              <w:t xml:space="preserve">Acción: Seguimiento al ejercicio de la Acción de repetición.  </w:t>
            </w:r>
            <w:r w:rsidRPr="00E35227">
              <w:rPr>
                <w:sz w:val="20"/>
                <w:szCs w:val="20"/>
              </w:rPr>
              <w:t>La DDJ realiza el estudio de viabilidad para el ejercicio de iniciar Acciones de Repetición en las 14 entidades que registraron el mayor valor en el pago de sentencias y conciliaciones con el fin de analizar la conveniencia de la intervención de la ANDJE.</w:t>
            </w:r>
          </w:p>
          <w:p w14:paraId="05124922" w14:textId="77777777" w:rsidR="00B41BF4" w:rsidRPr="00E35227" w:rsidRDefault="00B41BF4" w:rsidP="003445A7">
            <w:pPr>
              <w:pStyle w:val="Prrafodelista"/>
              <w:numPr>
                <w:ilvl w:val="0"/>
                <w:numId w:val="21"/>
              </w:numPr>
              <w:ind w:left="317"/>
              <w:jc w:val="both"/>
              <w:rPr>
                <w:sz w:val="20"/>
                <w:szCs w:val="20"/>
              </w:rPr>
            </w:pPr>
            <w:r w:rsidRPr="00E35227">
              <w:rPr>
                <w:b/>
                <w:sz w:val="20"/>
                <w:szCs w:val="20"/>
              </w:rPr>
              <w:t xml:space="preserve">Acción: Adelantar las acciones judiciales y administrativas pertinentes con la finalidad de recuperar recursos públicos.  </w:t>
            </w:r>
            <w:proofErr w:type="spellStart"/>
            <w:r w:rsidRPr="00E35227">
              <w:rPr>
                <w:sz w:val="20"/>
                <w:szCs w:val="20"/>
              </w:rPr>
              <w:t>Coadyuvancia</w:t>
            </w:r>
            <w:proofErr w:type="spellEnd"/>
            <w:r w:rsidRPr="00E35227">
              <w:rPr>
                <w:sz w:val="20"/>
                <w:szCs w:val="20"/>
              </w:rPr>
              <w:t xml:space="preserve"> a Acción de Lesividad interpuesta por FONPRECON a un beneficiario de pensión</w:t>
            </w:r>
            <w:r w:rsidRPr="00E35227">
              <w:rPr>
                <w:b/>
                <w:sz w:val="20"/>
                <w:szCs w:val="20"/>
              </w:rPr>
              <w:t>.</w:t>
            </w:r>
          </w:p>
        </w:tc>
      </w:tr>
    </w:tbl>
    <w:p w14:paraId="07C63E07" w14:textId="77777777" w:rsidR="00E35227" w:rsidRDefault="00E35227" w:rsidP="000C7FB3">
      <w:pPr>
        <w:spacing w:after="0"/>
        <w:jc w:val="both"/>
      </w:pPr>
    </w:p>
    <w:p w14:paraId="5B463E00" w14:textId="77777777" w:rsidR="001F0049" w:rsidRDefault="001F0049" w:rsidP="001F04BC">
      <w:pPr>
        <w:spacing w:after="0"/>
        <w:jc w:val="center"/>
        <w:rPr>
          <w:b/>
          <w:sz w:val="22"/>
          <w:szCs w:val="22"/>
        </w:rPr>
      </w:pPr>
    </w:p>
    <w:p w14:paraId="30C56D54" w14:textId="77777777" w:rsidR="001F0049" w:rsidRDefault="001F0049" w:rsidP="001F04BC">
      <w:pPr>
        <w:spacing w:after="0"/>
        <w:jc w:val="center"/>
        <w:rPr>
          <w:b/>
          <w:sz w:val="22"/>
          <w:szCs w:val="22"/>
        </w:rPr>
      </w:pPr>
    </w:p>
    <w:p w14:paraId="20FFF580" w14:textId="77777777" w:rsidR="001F04BC" w:rsidRPr="001F04BC" w:rsidRDefault="001F04BC" w:rsidP="001F04BC">
      <w:pPr>
        <w:spacing w:after="0"/>
        <w:jc w:val="center"/>
        <w:rPr>
          <w:b/>
          <w:sz w:val="22"/>
          <w:szCs w:val="22"/>
        </w:rPr>
      </w:pPr>
      <w:r w:rsidRPr="001F04BC">
        <w:rPr>
          <w:b/>
          <w:sz w:val="22"/>
          <w:szCs w:val="22"/>
        </w:rPr>
        <w:lastRenderedPageBreak/>
        <w:t xml:space="preserve">Tabla </w:t>
      </w:r>
      <w:r w:rsidR="00A33517">
        <w:rPr>
          <w:b/>
          <w:sz w:val="22"/>
          <w:szCs w:val="22"/>
        </w:rPr>
        <w:t>2</w:t>
      </w:r>
      <w:r w:rsidR="00BF17F9">
        <w:rPr>
          <w:b/>
          <w:sz w:val="22"/>
          <w:szCs w:val="22"/>
        </w:rPr>
        <w:t>0</w:t>
      </w:r>
      <w:r w:rsidRPr="001F04BC">
        <w:rPr>
          <w:b/>
          <w:sz w:val="22"/>
          <w:szCs w:val="22"/>
        </w:rPr>
        <w:t>:</w:t>
      </w:r>
      <w:r>
        <w:rPr>
          <w:b/>
          <w:sz w:val="22"/>
          <w:szCs w:val="22"/>
        </w:rPr>
        <w:t xml:space="preserve"> Prevención del daño antijurídico</w:t>
      </w:r>
      <w:r w:rsidR="00A20928">
        <w:rPr>
          <w:b/>
          <w:sz w:val="22"/>
          <w:szCs w:val="22"/>
        </w:rPr>
        <w:t xml:space="preserve"> –Ciclo de defensa</w:t>
      </w:r>
    </w:p>
    <w:p w14:paraId="1679FC01" w14:textId="77777777" w:rsidR="00E35227" w:rsidRDefault="00E35227" w:rsidP="000C7FB3">
      <w:pPr>
        <w:spacing w:after="0"/>
        <w:jc w:val="both"/>
      </w:pPr>
    </w:p>
    <w:tbl>
      <w:tblPr>
        <w:tblStyle w:val="Tablaconcuadrcula"/>
        <w:tblW w:w="8959" w:type="dxa"/>
        <w:tblInd w:w="108" w:type="dxa"/>
        <w:tblLook w:val="04A0" w:firstRow="1" w:lastRow="0" w:firstColumn="1" w:lastColumn="0" w:noHBand="0" w:noVBand="1"/>
      </w:tblPr>
      <w:tblGrid>
        <w:gridCol w:w="2410"/>
        <w:gridCol w:w="6549"/>
      </w:tblGrid>
      <w:tr w:rsidR="008D0522" w:rsidRPr="004E5F7F" w14:paraId="77DFC8A0" w14:textId="77777777" w:rsidTr="00FC5DAD">
        <w:trPr>
          <w:trHeight w:val="1042"/>
        </w:trPr>
        <w:tc>
          <w:tcPr>
            <w:tcW w:w="2410" w:type="dxa"/>
          </w:tcPr>
          <w:p w14:paraId="60C5774C" w14:textId="77777777" w:rsidR="00B41BF4" w:rsidRPr="004E5F7F" w:rsidRDefault="0058715C" w:rsidP="000C7FB3">
            <w:pPr>
              <w:jc w:val="both"/>
            </w:pPr>
            <w:r>
              <w:t xml:space="preserve"> </w:t>
            </w:r>
          </w:p>
        </w:tc>
        <w:tc>
          <w:tcPr>
            <w:tcW w:w="6549" w:type="dxa"/>
            <w:shd w:val="clear" w:color="auto" w:fill="F2F2F2" w:themeFill="background1" w:themeFillShade="F2"/>
          </w:tcPr>
          <w:p w14:paraId="127E7CA6" w14:textId="77777777" w:rsidR="00B41BF4" w:rsidRPr="00E46994" w:rsidRDefault="00550662" w:rsidP="000C7FB3">
            <w:pPr>
              <w:jc w:val="both"/>
              <w:rPr>
                <w:b/>
                <w:sz w:val="20"/>
              </w:rPr>
            </w:pPr>
            <w:r w:rsidRPr="00E46994">
              <w:rPr>
                <w:b/>
                <w:sz w:val="20"/>
              </w:rPr>
              <w:t>Se entiende por daño antijurídico aquel</w:t>
            </w:r>
            <w:r w:rsidR="00780E8C" w:rsidRPr="00E46994">
              <w:rPr>
                <w:b/>
                <w:sz w:val="20"/>
              </w:rPr>
              <w:t xml:space="preserve"> perjuicio provocado a una persona que no tiene el deber jurídico de soportarlo.</w:t>
            </w:r>
            <w:r w:rsidRPr="00E46994">
              <w:rPr>
                <w:b/>
                <w:sz w:val="20"/>
              </w:rPr>
              <w:t xml:space="preserve"> </w:t>
            </w:r>
            <w:r w:rsidR="00780E8C" w:rsidRPr="00E46994">
              <w:rPr>
                <w:b/>
                <w:sz w:val="20"/>
              </w:rPr>
              <w:t xml:space="preserve"> Se tomarán medidas o acciones para evitar que este daño se produzca</w:t>
            </w:r>
            <w:r w:rsidR="00192E6B" w:rsidRPr="00E46994">
              <w:rPr>
                <w:b/>
                <w:sz w:val="20"/>
              </w:rPr>
              <w:t xml:space="preserve"> por causa</w:t>
            </w:r>
            <w:r w:rsidR="00192E6B">
              <w:rPr>
                <w:b/>
                <w:sz w:val="20"/>
              </w:rPr>
              <w:t>s</w:t>
            </w:r>
            <w:r w:rsidR="00192E6B" w:rsidRPr="00E46994">
              <w:rPr>
                <w:b/>
                <w:sz w:val="20"/>
              </w:rPr>
              <w:t xml:space="preserve"> imputables al Estado.</w:t>
            </w:r>
          </w:p>
          <w:p w14:paraId="19809E36" w14:textId="77777777" w:rsidR="00B41BF4" w:rsidRPr="00E46994" w:rsidRDefault="00B41BF4" w:rsidP="000C7FB3">
            <w:pPr>
              <w:jc w:val="both"/>
              <w:rPr>
                <w:b/>
                <w:sz w:val="20"/>
              </w:rPr>
            </w:pPr>
          </w:p>
          <w:p w14:paraId="7642300A" w14:textId="77777777" w:rsidR="00B41BF4" w:rsidRDefault="00B41BF4" w:rsidP="000C7FB3">
            <w:pPr>
              <w:jc w:val="both"/>
              <w:rPr>
                <w:b/>
                <w:sz w:val="20"/>
              </w:rPr>
            </w:pPr>
            <w:r w:rsidRPr="009B3F8D">
              <w:rPr>
                <w:b/>
                <w:sz w:val="20"/>
              </w:rPr>
              <w:t>Impacto:</w:t>
            </w:r>
          </w:p>
          <w:p w14:paraId="6439F933" w14:textId="77777777" w:rsidR="00B41BF4" w:rsidRPr="00E35227" w:rsidRDefault="00B41BF4" w:rsidP="003445A7">
            <w:pPr>
              <w:pStyle w:val="Prrafodelista"/>
              <w:numPr>
                <w:ilvl w:val="0"/>
                <w:numId w:val="22"/>
              </w:numPr>
              <w:jc w:val="both"/>
              <w:rPr>
                <w:sz w:val="20"/>
              </w:rPr>
            </w:pPr>
            <w:r w:rsidRPr="00E35227">
              <w:rPr>
                <w:sz w:val="20"/>
              </w:rPr>
              <w:t>Mejora en la Gestión del Ciclo de Defensa Jurídica</w:t>
            </w:r>
          </w:p>
          <w:p w14:paraId="1F1A0640" w14:textId="77777777" w:rsidR="00B41BF4" w:rsidRPr="00E35227" w:rsidRDefault="00FC5DAD" w:rsidP="003445A7">
            <w:pPr>
              <w:pStyle w:val="Prrafodelista"/>
              <w:numPr>
                <w:ilvl w:val="0"/>
                <w:numId w:val="22"/>
              </w:numPr>
              <w:jc w:val="both"/>
              <w:rPr>
                <w:sz w:val="20"/>
              </w:rPr>
            </w:pPr>
            <w:r>
              <w:rPr>
                <w:noProof/>
                <w:lang w:val="es-CO" w:eastAsia="es-CO"/>
              </w:rPr>
              <mc:AlternateContent>
                <mc:Choice Requires="wps">
                  <w:drawing>
                    <wp:anchor distT="0" distB="0" distL="114300" distR="114300" simplePos="0" relativeHeight="251688191" behindDoc="0" locked="0" layoutInCell="1" allowOverlap="1" wp14:anchorId="57784634" wp14:editId="3C2A150E">
                      <wp:simplePos x="0" y="0"/>
                      <wp:positionH relativeFrom="column">
                        <wp:posOffset>-1445895</wp:posOffset>
                      </wp:positionH>
                      <wp:positionV relativeFrom="paragraph">
                        <wp:posOffset>207010</wp:posOffset>
                      </wp:positionV>
                      <wp:extent cx="1238250" cy="1190625"/>
                      <wp:effectExtent l="57150" t="19050" r="76200" b="104775"/>
                      <wp:wrapNone/>
                      <wp:docPr id="10" name="Elipse 10"/>
                      <wp:cNvGraphicFramePr/>
                      <a:graphic xmlns:a="http://schemas.openxmlformats.org/drawingml/2006/main">
                        <a:graphicData uri="http://schemas.microsoft.com/office/word/2010/wordprocessingShape">
                          <wps:wsp>
                            <wps:cNvSpPr/>
                            <wps:spPr>
                              <a:xfrm>
                                <a:off x="0" y="0"/>
                                <a:ext cx="1238250" cy="1190625"/>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10B2C0D" w14:textId="77777777" w:rsidR="008349EC" w:rsidRPr="008A58E3" w:rsidRDefault="008349EC" w:rsidP="008A58E3">
                                  <w:pPr>
                                    <w:jc w:val="center"/>
                                    <w:rPr>
                                      <w:rFonts w:asciiTheme="majorHAnsi" w:hAnsiTheme="majorHAnsi"/>
                                      <w:sz w:val="22"/>
                                      <w:szCs w:val="22"/>
                                      <w:lang w:val="es-CO"/>
                                    </w:rPr>
                                  </w:pPr>
                                  <w:r w:rsidRPr="008A58E3">
                                    <w:rPr>
                                      <w:rFonts w:asciiTheme="majorHAnsi" w:hAnsiTheme="majorHAnsi"/>
                                      <w:sz w:val="22"/>
                                      <w:szCs w:val="22"/>
                                      <w:lang w:val="es-CO"/>
                                    </w:rPr>
                                    <w:t>5. Prevención del daño antijurídico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84634" id="Elipse 10" o:spid="_x0000_s1027" style="position:absolute;left:0;text-align:left;margin-left:-113.85pt;margin-top:16.3pt;width:97.5pt;height:93.75pt;z-index:25168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" fillcolor="#4f81bd [3204]" strokecolor="#4579b8 [3044]">
                      <v:fill color2="#a7bfde [1620]" rotate="t" angle="180" focus="100%" type="gradient">
                        <o:fill v:ext="view" type="gradientUnscaled"/>
                      </v:fill>
                      <v:shadow on="t" color="black" opacity="22937f" origin=",.5" offset="0,.63889mm"/>
                      <v:textbox>
                        <w:txbxContent>
                          <w:p w14:paraId="110B2C0D" w14:textId="77777777" w:rsidR="008349EC" w:rsidRPr="008A58E3" w:rsidRDefault="008349EC" w:rsidP="008A58E3">
                            <w:pPr>
                              <w:jc w:val="center"/>
                              <w:rPr>
                                <w:rFonts w:asciiTheme="majorHAnsi" w:hAnsiTheme="majorHAnsi"/>
                                <w:sz w:val="22"/>
                                <w:szCs w:val="22"/>
                                <w:lang w:val="es-CO"/>
                              </w:rPr>
                            </w:pPr>
                            <w:r w:rsidRPr="008A58E3">
                              <w:rPr>
                                <w:rFonts w:asciiTheme="majorHAnsi" w:hAnsiTheme="majorHAnsi"/>
                                <w:sz w:val="22"/>
                                <w:szCs w:val="22"/>
                                <w:lang w:val="es-CO"/>
                              </w:rPr>
                              <w:t>5. Prevención del daño antijurídico</w:t>
                            </w:r>
                          </w:p>
                        </w:txbxContent>
                      </v:textbox>
                    </v:oval>
                  </w:pict>
                </mc:Fallback>
              </mc:AlternateContent>
            </w:r>
            <w:r w:rsidR="00B41BF4" w:rsidRPr="00E35227">
              <w:rPr>
                <w:sz w:val="20"/>
              </w:rPr>
              <w:t>Fortalecimiento de la gestión de la información estratégica y del conocimiento</w:t>
            </w:r>
          </w:p>
          <w:p w14:paraId="446E8E3B" w14:textId="77777777" w:rsidR="00B41BF4" w:rsidRDefault="00B41BF4" w:rsidP="000C7FB3">
            <w:pPr>
              <w:jc w:val="both"/>
              <w:rPr>
                <w:b/>
                <w:sz w:val="20"/>
              </w:rPr>
            </w:pPr>
          </w:p>
          <w:p w14:paraId="60534420" w14:textId="77777777" w:rsidR="00B41BF4" w:rsidRDefault="00B41BF4" w:rsidP="000C7FB3">
            <w:pPr>
              <w:jc w:val="both"/>
              <w:rPr>
                <w:b/>
                <w:sz w:val="20"/>
              </w:rPr>
            </w:pPr>
            <w:r>
              <w:rPr>
                <w:b/>
                <w:sz w:val="20"/>
              </w:rPr>
              <w:t xml:space="preserve">Metas 2017: </w:t>
            </w:r>
          </w:p>
          <w:p w14:paraId="75695F88" w14:textId="77777777" w:rsidR="00B41BF4" w:rsidRPr="00E35227" w:rsidRDefault="00B41BF4" w:rsidP="003445A7">
            <w:pPr>
              <w:pStyle w:val="Prrafodelista"/>
              <w:numPr>
                <w:ilvl w:val="0"/>
                <w:numId w:val="23"/>
              </w:numPr>
              <w:jc w:val="both"/>
              <w:rPr>
                <w:sz w:val="20"/>
              </w:rPr>
            </w:pPr>
            <w:r w:rsidRPr="00E35227">
              <w:rPr>
                <w:sz w:val="20"/>
              </w:rPr>
              <w:t xml:space="preserve">Disminución en el valor de las condenas de las 20 entidades más demandadas </w:t>
            </w:r>
          </w:p>
          <w:p w14:paraId="6682D16D" w14:textId="77777777" w:rsidR="00B41BF4" w:rsidRPr="00E35227" w:rsidRDefault="00B41BF4" w:rsidP="003445A7">
            <w:pPr>
              <w:pStyle w:val="Prrafodelista"/>
              <w:numPr>
                <w:ilvl w:val="0"/>
                <w:numId w:val="23"/>
              </w:numPr>
              <w:jc w:val="both"/>
              <w:rPr>
                <w:sz w:val="20"/>
              </w:rPr>
            </w:pPr>
            <w:r w:rsidRPr="00E35227">
              <w:rPr>
                <w:sz w:val="20"/>
              </w:rPr>
              <w:t>Reducir el flujo anual de pagos por sentencias de todas las entidades del orden nacional</w:t>
            </w:r>
          </w:p>
          <w:p w14:paraId="43A92787" w14:textId="77777777" w:rsidR="00B41BF4" w:rsidRPr="00E35227" w:rsidRDefault="00B41BF4" w:rsidP="003445A7">
            <w:pPr>
              <w:pStyle w:val="Prrafodelista"/>
              <w:numPr>
                <w:ilvl w:val="0"/>
                <w:numId w:val="23"/>
              </w:numPr>
              <w:jc w:val="both"/>
              <w:rPr>
                <w:sz w:val="20"/>
              </w:rPr>
            </w:pPr>
            <w:r w:rsidRPr="00E35227">
              <w:rPr>
                <w:sz w:val="20"/>
              </w:rPr>
              <w:t>Incremento en la tasa de éxito de las 20 entidades más demandadas en 9% porcentuales (36%).</w:t>
            </w:r>
          </w:p>
          <w:p w14:paraId="4B5E3338" w14:textId="77777777" w:rsidR="00B41BF4" w:rsidRPr="004E5F7F" w:rsidRDefault="00B41BF4" w:rsidP="003445A7">
            <w:pPr>
              <w:pStyle w:val="Prrafodelista"/>
              <w:numPr>
                <w:ilvl w:val="0"/>
                <w:numId w:val="23"/>
              </w:numPr>
              <w:jc w:val="both"/>
            </w:pPr>
            <w:r w:rsidRPr="00E35227">
              <w:rPr>
                <w:sz w:val="20"/>
              </w:rPr>
              <w:t>80% de las entidades del orden nacional con políticas integrales de prevención del daño antijurídico rediseñadas e implementadas</w:t>
            </w:r>
          </w:p>
        </w:tc>
      </w:tr>
      <w:tr w:rsidR="008D0522" w:rsidRPr="004E5F7F" w14:paraId="1FCA5553" w14:textId="77777777" w:rsidTr="00E46994">
        <w:tc>
          <w:tcPr>
            <w:tcW w:w="2410" w:type="dxa"/>
            <w:shd w:val="clear" w:color="auto" w:fill="95B3D7" w:themeFill="accent1" w:themeFillTint="99"/>
          </w:tcPr>
          <w:p w14:paraId="5F20A7CC" w14:textId="77777777" w:rsidR="00B41BF4" w:rsidRPr="004E5F7F" w:rsidRDefault="00B41BF4" w:rsidP="000C7FB3">
            <w:pPr>
              <w:jc w:val="center"/>
              <w:rPr>
                <w:b/>
              </w:rPr>
            </w:pPr>
          </w:p>
          <w:p w14:paraId="02D218C0" w14:textId="77777777" w:rsidR="00B41BF4" w:rsidRPr="004E5F7F" w:rsidRDefault="00B41BF4" w:rsidP="000C7FB3">
            <w:pPr>
              <w:jc w:val="center"/>
              <w:rPr>
                <w:b/>
              </w:rPr>
            </w:pPr>
          </w:p>
          <w:p w14:paraId="510C36D8" w14:textId="77777777" w:rsidR="00B41BF4" w:rsidRPr="004E5F7F" w:rsidRDefault="00B41BF4" w:rsidP="000C7FB3">
            <w:pPr>
              <w:jc w:val="center"/>
              <w:rPr>
                <w:b/>
              </w:rPr>
            </w:pPr>
          </w:p>
          <w:p w14:paraId="5CA0E60B" w14:textId="77777777" w:rsidR="00B41BF4" w:rsidRPr="004E5F7F" w:rsidRDefault="00B41BF4" w:rsidP="000C7FB3">
            <w:pPr>
              <w:jc w:val="center"/>
              <w:rPr>
                <w:b/>
              </w:rPr>
            </w:pPr>
          </w:p>
          <w:p w14:paraId="23A62238" w14:textId="77777777" w:rsidR="00B41BF4" w:rsidRPr="004E5F7F" w:rsidRDefault="00B41BF4" w:rsidP="000C7FB3">
            <w:pPr>
              <w:jc w:val="center"/>
              <w:rPr>
                <w:b/>
              </w:rPr>
            </w:pPr>
          </w:p>
          <w:p w14:paraId="377B793D" w14:textId="77777777" w:rsidR="00B41BF4" w:rsidRPr="004E5F7F" w:rsidRDefault="00B41BF4" w:rsidP="000C7FB3">
            <w:pPr>
              <w:jc w:val="center"/>
              <w:rPr>
                <w:b/>
              </w:rPr>
            </w:pPr>
          </w:p>
          <w:p w14:paraId="16E6EA29" w14:textId="77777777" w:rsidR="0058715C" w:rsidRDefault="0058715C" w:rsidP="000C7FB3">
            <w:pPr>
              <w:jc w:val="center"/>
              <w:rPr>
                <w:b/>
              </w:rPr>
            </w:pPr>
          </w:p>
          <w:p w14:paraId="33B1E7EF" w14:textId="77777777" w:rsidR="0058715C" w:rsidRDefault="0058715C" w:rsidP="000C7FB3">
            <w:pPr>
              <w:jc w:val="center"/>
              <w:rPr>
                <w:b/>
              </w:rPr>
            </w:pPr>
          </w:p>
          <w:p w14:paraId="4B1B88C6" w14:textId="77777777" w:rsidR="0058715C" w:rsidRDefault="0058715C" w:rsidP="000C7FB3">
            <w:pPr>
              <w:jc w:val="center"/>
              <w:rPr>
                <w:b/>
              </w:rPr>
            </w:pPr>
          </w:p>
          <w:p w14:paraId="7A5B02AC" w14:textId="77777777" w:rsidR="0058715C" w:rsidRDefault="0058715C" w:rsidP="000C7FB3">
            <w:pPr>
              <w:jc w:val="center"/>
              <w:rPr>
                <w:b/>
              </w:rPr>
            </w:pPr>
          </w:p>
          <w:p w14:paraId="10826C29" w14:textId="77777777" w:rsidR="00B41BF4" w:rsidRPr="004E5F7F" w:rsidRDefault="00B41BF4" w:rsidP="000C7FB3">
            <w:pPr>
              <w:jc w:val="center"/>
              <w:rPr>
                <w:b/>
              </w:rPr>
            </w:pPr>
            <w:r w:rsidRPr="004E5F7F">
              <w:rPr>
                <w:b/>
              </w:rPr>
              <w:t>DIRECCION DE GESTIÓN DE INFORMACIÓN</w:t>
            </w:r>
          </w:p>
          <w:p w14:paraId="767C151E" w14:textId="77777777" w:rsidR="00B41BF4" w:rsidRPr="004E5F7F" w:rsidRDefault="00B41BF4" w:rsidP="000C7FB3">
            <w:pPr>
              <w:jc w:val="center"/>
              <w:rPr>
                <w:b/>
              </w:rPr>
            </w:pPr>
          </w:p>
          <w:p w14:paraId="114310E5" w14:textId="77777777" w:rsidR="00B41BF4" w:rsidRPr="004E5F7F" w:rsidRDefault="00B41BF4" w:rsidP="000C7FB3">
            <w:pPr>
              <w:jc w:val="center"/>
              <w:rPr>
                <w:b/>
              </w:rPr>
            </w:pPr>
          </w:p>
        </w:tc>
        <w:tc>
          <w:tcPr>
            <w:tcW w:w="6549" w:type="dxa"/>
          </w:tcPr>
          <w:p w14:paraId="54EBD15F" w14:textId="77777777" w:rsidR="00B41BF4" w:rsidRDefault="00B41BF4" w:rsidP="003445A7">
            <w:pPr>
              <w:pStyle w:val="Prrafodelista"/>
              <w:numPr>
                <w:ilvl w:val="0"/>
                <w:numId w:val="24"/>
              </w:numPr>
              <w:ind w:left="317"/>
              <w:jc w:val="both"/>
              <w:rPr>
                <w:sz w:val="20"/>
              </w:rPr>
            </w:pPr>
            <w:r w:rsidRPr="00AA12B6">
              <w:rPr>
                <w:b/>
                <w:sz w:val="20"/>
              </w:rPr>
              <w:t xml:space="preserve">Acción: </w:t>
            </w:r>
            <w:r w:rsidRPr="00AA12B6">
              <w:rPr>
                <w:b/>
                <w:i/>
                <w:sz w:val="20"/>
              </w:rPr>
              <w:t>Elaboración de la encuesta de evaluación de gestión del ciclo de defensa jurídica.</w:t>
            </w:r>
            <w:r w:rsidRPr="00AA12B6">
              <w:rPr>
                <w:b/>
                <w:sz w:val="20"/>
              </w:rPr>
              <w:t xml:space="preserve"> Objetivo:</w:t>
            </w:r>
            <w:r w:rsidRPr="00AA12B6">
              <w:rPr>
                <w:sz w:val="20"/>
              </w:rPr>
              <w:t xml:space="preserve"> La encuesta de evaluación de gestión del ciclo de defensa jurídica permite a la DGI identificar el grado de madurez de las entidades públicas en relación con la gestión realizada para prevenir el daño antijurídico. </w:t>
            </w:r>
            <w:r w:rsidRPr="00AA12B6">
              <w:rPr>
                <w:b/>
                <w:sz w:val="20"/>
              </w:rPr>
              <w:t xml:space="preserve">Impacto: </w:t>
            </w:r>
            <w:r w:rsidRPr="00AA12B6">
              <w:rPr>
                <w:sz w:val="20"/>
              </w:rPr>
              <w:t>Adoptar políticas de prevención del daño antijurídico y la litigiosidad contra la Nación</w:t>
            </w:r>
            <w:r>
              <w:rPr>
                <w:sz w:val="20"/>
              </w:rPr>
              <w:t>.</w:t>
            </w:r>
          </w:p>
          <w:p w14:paraId="75CBFB7B" w14:textId="77777777" w:rsidR="00B41BF4" w:rsidRPr="00AA12B6" w:rsidRDefault="00B41BF4" w:rsidP="00E35227">
            <w:pPr>
              <w:pStyle w:val="Prrafodelista"/>
              <w:ind w:left="317"/>
              <w:jc w:val="both"/>
              <w:rPr>
                <w:sz w:val="20"/>
              </w:rPr>
            </w:pPr>
          </w:p>
          <w:p w14:paraId="2D7B92F3" w14:textId="77777777" w:rsidR="00B41BF4" w:rsidRDefault="00B41BF4" w:rsidP="003445A7">
            <w:pPr>
              <w:pStyle w:val="Prrafodelista"/>
              <w:numPr>
                <w:ilvl w:val="0"/>
                <w:numId w:val="24"/>
              </w:numPr>
              <w:ind w:left="317"/>
              <w:jc w:val="both"/>
              <w:rPr>
                <w:sz w:val="20"/>
              </w:rPr>
            </w:pPr>
            <w:r w:rsidRPr="00AA12B6">
              <w:rPr>
                <w:b/>
                <w:sz w:val="20"/>
              </w:rPr>
              <w:t>Acción:</w:t>
            </w:r>
            <w:r w:rsidRPr="00AA12B6">
              <w:rPr>
                <w:sz w:val="20"/>
              </w:rPr>
              <w:t xml:space="preserve"> </w:t>
            </w:r>
            <w:r w:rsidRPr="00AA12B6">
              <w:rPr>
                <w:b/>
                <w:i/>
                <w:sz w:val="20"/>
              </w:rPr>
              <w:t>Reporte diario de movimientos de procesos judiciales en los que es parte una entidad del orden  nacional.</w:t>
            </w:r>
            <w:r w:rsidRPr="00AA12B6">
              <w:rPr>
                <w:b/>
                <w:sz w:val="20"/>
              </w:rPr>
              <w:t xml:space="preserve"> Objetivo:</w:t>
            </w:r>
            <w:r w:rsidRPr="00AA12B6">
              <w:rPr>
                <w:sz w:val="20"/>
              </w:rPr>
              <w:t xml:space="preserve"> La DGI genera un reporte diario de movimientos de procesos judiciales en los que es parte una entidad del orden nacional, a través del cual se presenta la información para socializar con las Direcciones Técnicas de la Agencia en relación con el comportamiento de la actividad litigiosa de las entidades públicas en materia de procesos judiciales, identificando entre otros factores, posible riesgo fiscal asociado al valor de las pretensiones o al volumen de  procesos que comparten la misma causa. </w:t>
            </w:r>
            <w:r w:rsidRPr="00AA12B6">
              <w:rPr>
                <w:b/>
                <w:sz w:val="20"/>
              </w:rPr>
              <w:t xml:space="preserve">Impacto: </w:t>
            </w:r>
            <w:r w:rsidRPr="00AA12B6">
              <w:rPr>
                <w:sz w:val="20"/>
              </w:rPr>
              <w:t>Adoptar estrategias de defensa jurídica oportunas que mitiguen el riesgo fiscal, así como el diseño de política de prevención.</w:t>
            </w:r>
          </w:p>
          <w:p w14:paraId="78C13217" w14:textId="77777777" w:rsidR="00192E6B" w:rsidRPr="00E46994" w:rsidRDefault="00192E6B" w:rsidP="00E46994">
            <w:pPr>
              <w:pStyle w:val="Prrafodelista"/>
              <w:rPr>
                <w:sz w:val="20"/>
              </w:rPr>
            </w:pPr>
          </w:p>
          <w:p w14:paraId="26AB96F1" w14:textId="77777777" w:rsidR="00B41BF4" w:rsidRPr="004E5F7F" w:rsidRDefault="00B41BF4" w:rsidP="003445A7">
            <w:pPr>
              <w:pStyle w:val="Prrafodelista"/>
              <w:numPr>
                <w:ilvl w:val="0"/>
                <w:numId w:val="24"/>
              </w:numPr>
              <w:ind w:left="317"/>
              <w:jc w:val="both"/>
            </w:pPr>
            <w:r w:rsidRPr="00AA12B6">
              <w:rPr>
                <w:b/>
                <w:sz w:val="20"/>
              </w:rPr>
              <w:t xml:space="preserve">Acción: </w:t>
            </w:r>
            <w:r w:rsidRPr="00532C68">
              <w:rPr>
                <w:b/>
                <w:i/>
                <w:sz w:val="20"/>
              </w:rPr>
              <w:t>Caracterización mensual de la actividad litigiosa sectorial.</w:t>
            </w:r>
            <w:r w:rsidRPr="00AA12B6">
              <w:rPr>
                <w:b/>
                <w:sz w:val="20"/>
              </w:rPr>
              <w:t xml:space="preserve"> Objetivo: </w:t>
            </w:r>
            <w:r w:rsidRPr="00AA12B6">
              <w:rPr>
                <w:sz w:val="20"/>
              </w:rPr>
              <w:t xml:space="preserve">La DGI realiza una caracterización mensual de la actividad litigiosa sectorial a través de la cual identifica tendencias del comportamiento de la actividad litigiosa de los sectores de la administración pública nacional. </w:t>
            </w:r>
            <w:r w:rsidRPr="00AA12B6">
              <w:rPr>
                <w:b/>
                <w:sz w:val="20"/>
              </w:rPr>
              <w:t xml:space="preserve">Impacto: </w:t>
            </w:r>
            <w:r w:rsidRPr="00AA12B6">
              <w:rPr>
                <w:sz w:val="20"/>
              </w:rPr>
              <w:t xml:space="preserve">Generar insumos necesarios para el diseño de políticas de prevención del daño antijurídico y estrategias de defensa jurídica sectoriales, así como para la gestión del riesgo fiscal. </w:t>
            </w:r>
          </w:p>
        </w:tc>
      </w:tr>
      <w:tr w:rsidR="008D0522" w:rsidRPr="004E5F7F" w14:paraId="197CA81C" w14:textId="77777777" w:rsidTr="00E46994">
        <w:tc>
          <w:tcPr>
            <w:tcW w:w="2410" w:type="dxa"/>
            <w:shd w:val="clear" w:color="auto" w:fill="CCC0D9" w:themeFill="accent4" w:themeFillTint="66"/>
          </w:tcPr>
          <w:p w14:paraId="3038065A" w14:textId="77777777" w:rsidR="0058715C" w:rsidRDefault="0058715C" w:rsidP="000C7FB3">
            <w:pPr>
              <w:jc w:val="center"/>
              <w:rPr>
                <w:b/>
              </w:rPr>
            </w:pPr>
          </w:p>
          <w:p w14:paraId="7058832F" w14:textId="77777777" w:rsidR="0058715C" w:rsidRDefault="0058715C" w:rsidP="000C7FB3">
            <w:pPr>
              <w:jc w:val="center"/>
              <w:rPr>
                <w:b/>
              </w:rPr>
            </w:pPr>
          </w:p>
          <w:p w14:paraId="0EAD8FC6" w14:textId="77777777" w:rsidR="0058715C" w:rsidRDefault="0058715C" w:rsidP="000C7FB3">
            <w:pPr>
              <w:jc w:val="center"/>
              <w:rPr>
                <w:b/>
              </w:rPr>
            </w:pPr>
          </w:p>
          <w:p w14:paraId="33714F69" w14:textId="77777777" w:rsidR="0058715C" w:rsidRDefault="0058715C" w:rsidP="000C7FB3">
            <w:pPr>
              <w:jc w:val="center"/>
              <w:rPr>
                <w:b/>
              </w:rPr>
            </w:pPr>
          </w:p>
          <w:p w14:paraId="1D0036A1" w14:textId="77777777" w:rsidR="0058715C" w:rsidRDefault="0058715C" w:rsidP="000C7FB3">
            <w:pPr>
              <w:jc w:val="center"/>
              <w:rPr>
                <w:b/>
              </w:rPr>
            </w:pPr>
          </w:p>
          <w:p w14:paraId="2C3C7CE8" w14:textId="77777777" w:rsidR="0058715C" w:rsidRDefault="0058715C" w:rsidP="000C7FB3">
            <w:pPr>
              <w:jc w:val="center"/>
              <w:rPr>
                <w:b/>
              </w:rPr>
            </w:pPr>
          </w:p>
          <w:p w14:paraId="27908F86" w14:textId="77777777" w:rsidR="00B41BF4" w:rsidRPr="004E5F7F" w:rsidRDefault="00B41BF4" w:rsidP="000C7FB3">
            <w:pPr>
              <w:jc w:val="center"/>
            </w:pPr>
            <w:r>
              <w:rPr>
                <w:b/>
              </w:rPr>
              <w:t>DIRECCION DE POLÍTICAS Y ESTRATEGIAS</w:t>
            </w:r>
          </w:p>
        </w:tc>
        <w:tc>
          <w:tcPr>
            <w:tcW w:w="6549" w:type="dxa"/>
          </w:tcPr>
          <w:p w14:paraId="6FDEC6D7" w14:textId="77777777" w:rsidR="00B41BF4" w:rsidRDefault="00B41BF4" w:rsidP="003445A7">
            <w:pPr>
              <w:pStyle w:val="Prrafodelista"/>
              <w:numPr>
                <w:ilvl w:val="0"/>
                <w:numId w:val="24"/>
              </w:numPr>
              <w:ind w:left="317"/>
              <w:jc w:val="both"/>
              <w:rPr>
                <w:b/>
                <w:sz w:val="20"/>
                <w:szCs w:val="20"/>
              </w:rPr>
            </w:pPr>
            <w:r w:rsidRPr="00757046">
              <w:rPr>
                <w:b/>
                <w:sz w:val="20"/>
                <w:szCs w:val="20"/>
              </w:rPr>
              <w:t>Guía para la generación de política de prevención del daño antijurídico</w:t>
            </w:r>
            <w:r>
              <w:rPr>
                <w:b/>
                <w:sz w:val="20"/>
                <w:szCs w:val="20"/>
              </w:rPr>
              <w:t xml:space="preserve">. </w:t>
            </w:r>
            <w:r w:rsidRPr="00757046">
              <w:rPr>
                <w:b/>
                <w:sz w:val="20"/>
                <w:szCs w:val="20"/>
              </w:rPr>
              <w:t>Objetivo:</w:t>
            </w:r>
            <w:r w:rsidRPr="00757046">
              <w:rPr>
                <w:sz w:val="20"/>
                <w:szCs w:val="20"/>
              </w:rPr>
              <w:t xml:space="preserve"> sugerir a las entidades un procedimiento para el diseño de su política de prevención.</w:t>
            </w:r>
            <w:r>
              <w:rPr>
                <w:sz w:val="20"/>
                <w:szCs w:val="20"/>
              </w:rPr>
              <w:t xml:space="preserve"> </w:t>
            </w:r>
            <w:r w:rsidRPr="00757046">
              <w:rPr>
                <w:b/>
                <w:sz w:val="20"/>
                <w:szCs w:val="20"/>
              </w:rPr>
              <w:t xml:space="preserve">Impacto: </w:t>
            </w:r>
            <w:r w:rsidRPr="00757046">
              <w:rPr>
                <w:sz w:val="20"/>
                <w:szCs w:val="20"/>
              </w:rPr>
              <w:t>disminuir los daños antijurídicos generados por las entidades.</w:t>
            </w:r>
            <w:r>
              <w:rPr>
                <w:sz w:val="20"/>
                <w:szCs w:val="20"/>
              </w:rPr>
              <w:t xml:space="preserve"> </w:t>
            </w:r>
            <w:r w:rsidRPr="001351E5">
              <w:rPr>
                <w:b/>
                <w:sz w:val="20"/>
                <w:szCs w:val="20"/>
              </w:rPr>
              <w:t>(Terminada).</w:t>
            </w:r>
          </w:p>
          <w:p w14:paraId="507F2B07" w14:textId="77777777" w:rsidR="00192E6B" w:rsidRDefault="00192E6B" w:rsidP="00E46994">
            <w:pPr>
              <w:pStyle w:val="Prrafodelista"/>
              <w:ind w:left="317"/>
              <w:jc w:val="both"/>
              <w:rPr>
                <w:b/>
                <w:sz w:val="20"/>
                <w:szCs w:val="20"/>
              </w:rPr>
            </w:pPr>
          </w:p>
          <w:p w14:paraId="39A28E60" w14:textId="77777777" w:rsidR="00B41BF4" w:rsidRPr="00E46994" w:rsidRDefault="00B41BF4" w:rsidP="003445A7">
            <w:pPr>
              <w:pStyle w:val="Prrafodelista"/>
              <w:numPr>
                <w:ilvl w:val="0"/>
                <w:numId w:val="24"/>
              </w:numPr>
              <w:ind w:left="317"/>
              <w:jc w:val="both"/>
              <w:rPr>
                <w:sz w:val="20"/>
                <w:szCs w:val="20"/>
              </w:rPr>
            </w:pPr>
            <w:r w:rsidRPr="00757046">
              <w:rPr>
                <w:b/>
                <w:sz w:val="20"/>
                <w:szCs w:val="20"/>
              </w:rPr>
              <w:t>Proyecto -Manual para la formulación de una política pública de prevención del daño antijurídico</w:t>
            </w:r>
            <w:r>
              <w:rPr>
                <w:b/>
                <w:sz w:val="20"/>
                <w:szCs w:val="20"/>
              </w:rPr>
              <w:t xml:space="preserve">. </w:t>
            </w:r>
            <w:r w:rsidRPr="004062BB">
              <w:rPr>
                <w:b/>
                <w:sz w:val="20"/>
                <w:szCs w:val="20"/>
              </w:rPr>
              <w:t xml:space="preserve">Objetivo: </w:t>
            </w:r>
            <w:r w:rsidRPr="004062BB">
              <w:rPr>
                <w:sz w:val="20"/>
                <w:szCs w:val="20"/>
              </w:rPr>
              <w:t>elaborar un manual para la formulación de política pública de prevención del daño antijurídico por parte de entidades públicas nacionales.</w:t>
            </w:r>
            <w:r>
              <w:rPr>
                <w:sz w:val="20"/>
                <w:szCs w:val="20"/>
              </w:rPr>
              <w:t xml:space="preserve"> </w:t>
            </w:r>
            <w:r w:rsidRPr="004062BB">
              <w:rPr>
                <w:b/>
                <w:sz w:val="20"/>
                <w:szCs w:val="20"/>
              </w:rPr>
              <w:t xml:space="preserve">Impacto: </w:t>
            </w:r>
            <w:r w:rsidRPr="004062BB">
              <w:rPr>
                <w:sz w:val="20"/>
                <w:szCs w:val="20"/>
              </w:rPr>
              <w:t>(i) disminuir los daños antijurídicos generados por las entidades; y (ii) disminuir las demandas en contra de la Nación en un 10% en los próximos 5 años.</w:t>
            </w:r>
            <w:r>
              <w:rPr>
                <w:sz w:val="20"/>
                <w:szCs w:val="20"/>
              </w:rPr>
              <w:t xml:space="preserve"> </w:t>
            </w:r>
            <w:r w:rsidRPr="004062BB">
              <w:rPr>
                <w:b/>
                <w:sz w:val="20"/>
                <w:szCs w:val="20"/>
              </w:rPr>
              <w:t>(Termina</w:t>
            </w:r>
            <w:r>
              <w:rPr>
                <w:b/>
                <w:sz w:val="20"/>
                <w:szCs w:val="20"/>
              </w:rPr>
              <w:t>d</w:t>
            </w:r>
            <w:r w:rsidRPr="004062BB">
              <w:rPr>
                <w:b/>
                <w:sz w:val="20"/>
                <w:szCs w:val="20"/>
              </w:rPr>
              <w:t>o).</w:t>
            </w:r>
          </w:p>
          <w:p w14:paraId="2C3CC2C1" w14:textId="77777777" w:rsidR="00192E6B" w:rsidRPr="004D33A7" w:rsidRDefault="00192E6B" w:rsidP="00E46994">
            <w:pPr>
              <w:pStyle w:val="Prrafodelista"/>
              <w:ind w:left="317"/>
              <w:jc w:val="both"/>
              <w:rPr>
                <w:sz w:val="20"/>
                <w:szCs w:val="20"/>
              </w:rPr>
            </w:pPr>
          </w:p>
          <w:p w14:paraId="320843B3" w14:textId="77777777" w:rsidR="00B41BF4" w:rsidRPr="00E46994" w:rsidRDefault="00B41BF4" w:rsidP="003445A7">
            <w:pPr>
              <w:pStyle w:val="Prrafodelista"/>
              <w:numPr>
                <w:ilvl w:val="0"/>
                <w:numId w:val="24"/>
              </w:numPr>
              <w:ind w:left="317"/>
              <w:jc w:val="both"/>
              <w:rPr>
                <w:sz w:val="20"/>
                <w:szCs w:val="20"/>
              </w:rPr>
            </w:pPr>
            <w:r w:rsidRPr="00D3199B">
              <w:rPr>
                <w:b/>
                <w:sz w:val="20"/>
                <w:szCs w:val="20"/>
              </w:rPr>
              <w:t>Línea jurisprudencial -  Privación Injusta de la libertad</w:t>
            </w:r>
            <w:r>
              <w:rPr>
                <w:b/>
                <w:sz w:val="20"/>
                <w:szCs w:val="20"/>
              </w:rPr>
              <w:t xml:space="preserve">. </w:t>
            </w:r>
            <w:r w:rsidRPr="00D3199B">
              <w:rPr>
                <w:b/>
                <w:sz w:val="20"/>
                <w:szCs w:val="20"/>
              </w:rPr>
              <w:t>Objetivo</w:t>
            </w:r>
            <w:r w:rsidRPr="00305BC6">
              <w:rPr>
                <w:sz w:val="20"/>
                <w:szCs w:val="20"/>
              </w:rPr>
              <w:t>: presentar recomendaciones para reducir el riesgo de demandas por privación injusta de la libertad.</w:t>
            </w:r>
            <w:r>
              <w:rPr>
                <w:b/>
                <w:sz w:val="20"/>
                <w:szCs w:val="20"/>
              </w:rPr>
              <w:t xml:space="preserve"> </w:t>
            </w:r>
            <w:r w:rsidRPr="00305BC6">
              <w:rPr>
                <w:b/>
                <w:sz w:val="20"/>
                <w:szCs w:val="20"/>
              </w:rPr>
              <w:t xml:space="preserve">Impacto: </w:t>
            </w:r>
            <w:r w:rsidRPr="00305BC6">
              <w:rPr>
                <w:sz w:val="20"/>
                <w:szCs w:val="20"/>
              </w:rPr>
              <w:t>coadyuvar en la reducción de las demandas por privación injusta de la libertad.</w:t>
            </w:r>
            <w:r>
              <w:rPr>
                <w:sz w:val="20"/>
                <w:szCs w:val="20"/>
              </w:rPr>
              <w:t xml:space="preserve"> </w:t>
            </w:r>
            <w:r w:rsidRPr="009A7478">
              <w:rPr>
                <w:b/>
                <w:sz w:val="20"/>
                <w:szCs w:val="20"/>
              </w:rPr>
              <w:t>(Terminada).</w:t>
            </w:r>
          </w:p>
          <w:p w14:paraId="0219FEDA" w14:textId="77777777" w:rsidR="00192E6B" w:rsidRPr="00E46994" w:rsidRDefault="00192E6B" w:rsidP="00E46994">
            <w:pPr>
              <w:pStyle w:val="Prrafodelista"/>
              <w:rPr>
                <w:sz w:val="20"/>
                <w:szCs w:val="20"/>
              </w:rPr>
            </w:pPr>
          </w:p>
          <w:p w14:paraId="3A5295FC" w14:textId="77777777" w:rsidR="00192E6B" w:rsidRDefault="00B41BF4" w:rsidP="003445A7">
            <w:pPr>
              <w:pStyle w:val="Prrafodelista"/>
              <w:numPr>
                <w:ilvl w:val="0"/>
                <w:numId w:val="24"/>
              </w:numPr>
              <w:ind w:left="317"/>
              <w:jc w:val="both"/>
              <w:rPr>
                <w:b/>
                <w:sz w:val="20"/>
                <w:szCs w:val="20"/>
              </w:rPr>
            </w:pPr>
            <w:r w:rsidRPr="00640DC4">
              <w:rPr>
                <w:b/>
                <w:sz w:val="20"/>
                <w:szCs w:val="20"/>
              </w:rPr>
              <w:t>Proyecto  - Desarrollo de un esquema de decisión correcta para imponer una medida cautelar de privación de la libertad   – Complemento</w:t>
            </w:r>
            <w:r>
              <w:rPr>
                <w:b/>
                <w:sz w:val="20"/>
                <w:szCs w:val="20"/>
              </w:rPr>
              <w:t xml:space="preserve">. </w:t>
            </w:r>
            <w:r w:rsidRPr="00640DC4">
              <w:rPr>
                <w:b/>
                <w:sz w:val="20"/>
                <w:szCs w:val="20"/>
              </w:rPr>
              <w:t xml:space="preserve">Objetivo: </w:t>
            </w:r>
            <w:r w:rsidRPr="00640DC4">
              <w:rPr>
                <w:sz w:val="20"/>
                <w:szCs w:val="20"/>
              </w:rPr>
              <w:t>construir un esquema de decisión oportuno y coherente a efectos de imponer medidas cautelares de privación de la libertad.</w:t>
            </w:r>
            <w:r>
              <w:rPr>
                <w:sz w:val="20"/>
                <w:szCs w:val="20"/>
              </w:rPr>
              <w:t xml:space="preserve"> </w:t>
            </w:r>
            <w:r w:rsidRPr="00640DC4">
              <w:rPr>
                <w:b/>
                <w:sz w:val="20"/>
                <w:szCs w:val="20"/>
              </w:rPr>
              <w:t xml:space="preserve">Impacto: </w:t>
            </w:r>
            <w:r>
              <w:rPr>
                <w:sz w:val="20"/>
                <w:szCs w:val="20"/>
              </w:rPr>
              <w:t>c</w:t>
            </w:r>
            <w:r w:rsidRPr="00640DC4">
              <w:rPr>
                <w:sz w:val="20"/>
                <w:szCs w:val="20"/>
              </w:rPr>
              <w:t>oadyuvar en la reducción de las demandas por privación injusta de la libertad.</w:t>
            </w:r>
            <w:r>
              <w:rPr>
                <w:sz w:val="20"/>
                <w:szCs w:val="20"/>
              </w:rPr>
              <w:t xml:space="preserve"> </w:t>
            </w:r>
            <w:r w:rsidRPr="00865274">
              <w:rPr>
                <w:b/>
                <w:sz w:val="20"/>
                <w:szCs w:val="20"/>
              </w:rPr>
              <w:t>(En desarrollo).</w:t>
            </w:r>
          </w:p>
          <w:p w14:paraId="0D50C583" w14:textId="77777777" w:rsidR="00192E6B" w:rsidRPr="00E46994" w:rsidRDefault="00192E6B" w:rsidP="00E46994">
            <w:pPr>
              <w:pStyle w:val="Prrafodelista"/>
              <w:ind w:left="317"/>
              <w:jc w:val="both"/>
              <w:rPr>
                <w:b/>
                <w:sz w:val="20"/>
                <w:szCs w:val="20"/>
              </w:rPr>
            </w:pPr>
          </w:p>
          <w:p w14:paraId="6EB5D85A" w14:textId="77777777" w:rsidR="00B41BF4" w:rsidRDefault="00B41BF4" w:rsidP="003445A7">
            <w:pPr>
              <w:pStyle w:val="Prrafodelista"/>
              <w:numPr>
                <w:ilvl w:val="0"/>
                <w:numId w:val="24"/>
              </w:numPr>
              <w:ind w:left="317"/>
              <w:jc w:val="both"/>
              <w:rPr>
                <w:b/>
                <w:sz w:val="20"/>
                <w:szCs w:val="20"/>
              </w:rPr>
            </w:pPr>
            <w:r w:rsidRPr="00865274">
              <w:rPr>
                <w:b/>
                <w:sz w:val="20"/>
                <w:szCs w:val="20"/>
              </w:rPr>
              <w:t>Proyecto - Taxonomía de causas</w:t>
            </w:r>
            <w:r>
              <w:rPr>
                <w:b/>
                <w:sz w:val="20"/>
                <w:szCs w:val="20"/>
              </w:rPr>
              <w:t xml:space="preserve">. </w:t>
            </w:r>
            <w:r w:rsidRPr="00865274">
              <w:rPr>
                <w:b/>
                <w:sz w:val="20"/>
                <w:szCs w:val="20"/>
              </w:rPr>
              <w:t xml:space="preserve">Objetivo: </w:t>
            </w:r>
            <w:r>
              <w:rPr>
                <w:sz w:val="20"/>
                <w:szCs w:val="20"/>
              </w:rPr>
              <w:t>d</w:t>
            </w:r>
            <w:r w:rsidRPr="00865274">
              <w:rPr>
                <w:sz w:val="20"/>
                <w:szCs w:val="20"/>
              </w:rPr>
              <w:t>iseñar un mecanismo para clasificar de manera ordenada y técnica los procesos según su causa.</w:t>
            </w:r>
            <w:r>
              <w:rPr>
                <w:sz w:val="20"/>
                <w:szCs w:val="20"/>
              </w:rPr>
              <w:t xml:space="preserve"> </w:t>
            </w:r>
            <w:r w:rsidRPr="00865274">
              <w:rPr>
                <w:b/>
                <w:sz w:val="20"/>
                <w:szCs w:val="20"/>
              </w:rPr>
              <w:t xml:space="preserve">Impacto: </w:t>
            </w:r>
            <w:r>
              <w:rPr>
                <w:sz w:val="20"/>
                <w:szCs w:val="20"/>
              </w:rPr>
              <w:t>i</w:t>
            </w:r>
            <w:r w:rsidRPr="00865274">
              <w:rPr>
                <w:sz w:val="20"/>
                <w:szCs w:val="20"/>
              </w:rPr>
              <w:t xml:space="preserve">nsumo para el estudio de probabilidad de éxito y la mejora del Sistema de Información </w:t>
            </w:r>
            <w:r>
              <w:rPr>
                <w:sz w:val="20"/>
                <w:szCs w:val="20"/>
              </w:rPr>
              <w:t>e-</w:t>
            </w:r>
            <w:proofErr w:type="spellStart"/>
            <w:r>
              <w:rPr>
                <w:sz w:val="20"/>
                <w:szCs w:val="20"/>
              </w:rPr>
              <w:t>k</w:t>
            </w:r>
            <w:r w:rsidRPr="00865274">
              <w:rPr>
                <w:sz w:val="20"/>
                <w:szCs w:val="20"/>
              </w:rPr>
              <w:t>ogui</w:t>
            </w:r>
            <w:proofErr w:type="spellEnd"/>
            <w:r w:rsidRPr="00865274">
              <w:rPr>
                <w:sz w:val="20"/>
                <w:szCs w:val="20"/>
              </w:rPr>
              <w:t>.</w:t>
            </w:r>
            <w:r>
              <w:rPr>
                <w:sz w:val="20"/>
                <w:szCs w:val="20"/>
              </w:rPr>
              <w:t xml:space="preserve"> </w:t>
            </w:r>
            <w:r w:rsidRPr="00865274">
              <w:rPr>
                <w:b/>
                <w:sz w:val="20"/>
                <w:szCs w:val="20"/>
              </w:rPr>
              <w:t>(En desarrollo)</w:t>
            </w:r>
            <w:r>
              <w:rPr>
                <w:b/>
                <w:sz w:val="20"/>
                <w:szCs w:val="20"/>
              </w:rPr>
              <w:t>.</w:t>
            </w:r>
          </w:p>
          <w:p w14:paraId="5139E383" w14:textId="77777777" w:rsidR="00192E6B" w:rsidRPr="00E46994" w:rsidRDefault="00192E6B" w:rsidP="00E46994">
            <w:pPr>
              <w:pStyle w:val="Prrafodelista"/>
              <w:rPr>
                <w:b/>
                <w:sz w:val="20"/>
                <w:szCs w:val="20"/>
              </w:rPr>
            </w:pPr>
          </w:p>
          <w:p w14:paraId="34DA0B4E" w14:textId="77777777" w:rsidR="00B41BF4" w:rsidRPr="00E46994" w:rsidRDefault="00B41BF4" w:rsidP="003445A7">
            <w:pPr>
              <w:pStyle w:val="Prrafodelista"/>
              <w:numPr>
                <w:ilvl w:val="0"/>
                <w:numId w:val="24"/>
              </w:numPr>
              <w:ind w:left="317"/>
              <w:jc w:val="both"/>
              <w:rPr>
                <w:sz w:val="20"/>
                <w:szCs w:val="20"/>
              </w:rPr>
            </w:pPr>
            <w:r w:rsidRPr="00757046">
              <w:rPr>
                <w:b/>
                <w:sz w:val="20"/>
                <w:szCs w:val="20"/>
              </w:rPr>
              <w:t>Estandarización de las causas que generan litigiosidad</w:t>
            </w:r>
            <w:r>
              <w:rPr>
                <w:b/>
                <w:sz w:val="20"/>
                <w:szCs w:val="20"/>
              </w:rPr>
              <w:t xml:space="preserve">. Objetivo: </w:t>
            </w:r>
            <w:r>
              <w:rPr>
                <w:sz w:val="20"/>
                <w:szCs w:val="20"/>
              </w:rPr>
              <w:t>d</w:t>
            </w:r>
            <w:r w:rsidRPr="00757046">
              <w:rPr>
                <w:sz w:val="20"/>
                <w:szCs w:val="20"/>
              </w:rPr>
              <w:t>efinir el catálogo de causas generadoras de litigiosidad contra el Estado, así como su significado, con el fin de que los abogados puedan optar por una de ellas al momento de registrar en Litigob los procesos en los que es parte la Nación.</w:t>
            </w:r>
            <w:r>
              <w:rPr>
                <w:sz w:val="20"/>
                <w:szCs w:val="20"/>
              </w:rPr>
              <w:t xml:space="preserve"> </w:t>
            </w:r>
            <w:r w:rsidRPr="00757046">
              <w:rPr>
                <w:b/>
                <w:sz w:val="20"/>
                <w:szCs w:val="20"/>
              </w:rPr>
              <w:t xml:space="preserve">Impacto: </w:t>
            </w:r>
            <w:r>
              <w:rPr>
                <w:sz w:val="20"/>
                <w:szCs w:val="20"/>
              </w:rPr>
              <w:t>i</w:t>
            </w:r>
            <w:r w:rsidRPr="00757046">
              <w:rPr>
                <w:sz w:val="20"/>
                <w:szCs w:val="20"/>
              </w:rPr>
              <w:t>nsumo para la elaboración de estadísticas y en consecuencia, políticas de prevención del daño antijurídico, así como formulación de estrategias de defensa.</w:t>
            </w:r>
            <w:r>
              <w:rPr>
                <w:sz w:val="20"/>
                <w:szCs w:val="20"/>
              </w:rPr>
              <w:t xml:space="preserve"> </w:t>
            </w:r>
            <w:r w:rsidRPr="00757046">
              <w:rPr>
                <w:b/>
                <w:sz w:val="20"/>
                <w:szCs w:val="20"/>
              </w:rPr>
              <w:t>(En desarrollo).</w:t>
            </w:r>
          </w:p>
          <w:p w14:paraId="2BF08CB3" w14:textId="77777777" w:rsidR="00192E6B" w:rsidRPr="00757046" w:rsidRDefault="00192E6B" w:rsidP="00E46994">
            <w:pPr>
              <w:pStyle w:val="Prrafodelista"/>
              <w:ind w:left="317"/>
              <w:jc w:val="both"/>
              <w:rPr>
                <w:sz w:val="20"/>
                <w:szCs w:val="20"/>
              </w:rPr>
            </w:pPr>
          </w:p>
          <w:p w14:paraId="46526EF1" w14:textId="77777777" w:rsidR="00B41BF4" w:rsidRPr="009D2FCE" w:rsidRDefault="00B41BF4" w:rsidP="003445A7">
            <w:pPr>
              <w:pStyle w:val="Prrafodelista"/>
              <w:numPr>
                <w:ilvl w:val="0"/>
                <w:numId w:val="24"/>
              </w:numPr>
              <w:ind w:left="317"/>
              <w:jc w:val="both"/>
              <w:rPr>
                <w:b/>
                <w:sz w:val="20"/>
                <w:szCs w:val="20"/>
              </w:rPr>
            </w:pPr>
            <w:r w:rsidRPr="004062BB">
              <w:rPr>
                <w:b/>
                <w:sz w:val="20"/>
                <w:szCs w:val="20"/>
              </w:rPr>
              <w:t>Proyecto - Construcción de una política de prevención para una causa que genere alta litigiosidad en la Policía Nacional</w:t>
            </w:r>
            <w:r>
              <w:rPr>
                <w:b/>
                <w:sz w:val="20"/>
                <w:szCs w:val="20"/>
              </w:rPr>
              <w:t xml:space="preserve">. </w:t>
            </w:r>
            <w:r w:rsidRPr="004062BB">
              <w:rPr>
                <w:b/>
                <w:sz w:val="20"/>
                <w:szCs w:val="20"/>
              </w:rPr>
              <w:t xml:space="preserve">Objetivo: </w:t>
            </w:r>
            <w:r>
              <w:rPr>
                <w:b/>
                <w:sz w:val="20"/>
                <w:szCs w:val="20"/>
              </w:rPr>
              <w:t>c</w:t>
            </w:r>
            <w:r w:rsidRPr="004062BB">
              <w:rPr>
                <w:sz w:val="20"/>
                <w:szCs w:val="20"/>
              </w:rPr>
              <w:t xml:space="preserve">larificar a las entidades el proceso para la elaboración de políticas de prevención del daño a través de la formulación detallada de una de ellas. </w:t>
            </w:r>
            <w:r w:rsidRPr="004062BB">
              <w:rPr>
                <w:b/>
                <w:sz w:val="20"/>
                <w:szCs w:val="20"/>
              </w:rPr>
              <w:t>Impacto:</w:t>
            </w:r>
            <w:r>
              <w:rPr>
                <w:b/>
                <w:sz w:val="20"/>
                <w:szCs w:val="20"/>
              </w:rPr>
              <w:t xml:space="preserve"> </w:t>
            </w:r>
            <w:r w:rsidRPr="004062BB">
              <w:rPr>
                <w:sz w:val="20"/>
                <w:szCs w:val="20"/>
              </w:rPr>
              <w:t>disminuir los daños antijurídicos generados por las entidades.</w:t>
            </w:r>
          </w:p>
          <w:p w14:paraId="6376EB11" w14:textId="77777777" w:rsidR="00192E6B" w:rsidRDefault="00192E6B" w:rsidP="00E46994">
            <w:pPr>
              <w:ind w:left="360"/>
              <w:jc w:val="both"/>
              <w:rPr>
                <w:b/>
                <w:sz w:val="20"/>
                <w:szCs w:val="20"/>
              </w:rPr>
            </w:pPr>
          </w:p>
          <w:p w14:paraId="6424CB02" w14:textId="77777777" w:rsidR="00B41BF4" w:rsidRDefault="00B41BF4" w:rsidP="00E46994">
            <w:pPr>
              <w:ind w:left="360"/>
              <w:jc w:val="both"/>
              <w:rPr>
                <w:b/>
                <w:sz w:val="20"/>
                <w:szCs w:val="20"/>
              </w:rPr>
            </w:pPr>
            <w:r w:rsidRPr="00E46994">
              <w:rPr>
                <w:b/>
                <w:sz w:val="20"/>
                <w:szCs w:val="20"/>
              </w:rPr>
              <w:t xml:space="preserve">Proyecto - Contrato realidad. Objetivo: </w:t>
            </w:r>
            <w:r w:rsidRPr="00E46994">
              <w:rPr>
                <w:sz w:val="20"/>
                <w:szCs w:val="20"/>
              </w:rPr>
              <w:t xml:space="preserve">presentar recomendaciones para reducir el riesgo de demandas por contrato realidad y asesorar a </w:t>
            </w:r>
            <w:r w:rsidRPr="00E46994">
              <w:rPr>
                <w:sz w:val="20"/>
                <w:szCs w:val="20"/>
              </w:rPr>
              <w:lastRenderedPageBreak/>
              <w:t xml:space="preserve">la entidad en la formulación  de estrategias de defensa. </w:t>
            </w:r>
            <w:r w:rsidRPr="00E46994">
              <w:rPr>
                <w:b/>
                <w:sz w:val="20"/>
                <w:szCs w:val="20"/>
              </w:rPr>
              <w:t xml:space="preserve">Impacto: </w:t>
            </w:r>
            <w:r w:rsidRPr="00E46994">
              <w:rPr>
                <w:sz w:val="20"/>
                <w:szCs w:val="20"/>
              </w:rPr>
              <w:t xml:space="preserve">reducción de las demandas por contrato realidad. </w:t>
            </w:r>
            <w:r w:rsidRPr="00E46994">
              <w:rPr>
                <w:b/>
                <w:sz w:val="20"/>
                <w:szCs w:val="20"/>
              </w:rPr>
              <w:t>(En desarrollo).</w:t>
            </w:r>
          </w:p>
          <w:p w14:paraId="728CF1C7" w14:textId="77777777" w:rsidR="00192E6B" w:rsidRPr="00E46994" w:rsidRDefault="00192E6B" w:rsidP="00E46994">
            <w:pPr>
              <w:ind w:left="360"/>
              <w:jc w:val="both"/>
              <w:rPr>
                <w:sz w:val="20"/>
                <w:szCs w:val="20"/>
              </w:rPr>
            </w:pPr>
          </w:p>
          <w:p w14:paraId="24244845" w14:textId="77777777" w:rsidR="00B41BF4" w:rsidRDefault="00B41BF4" w:rsidP="003445A7">
            <w:pPr>
              <w:pStyle w:val="Prrafodelista"/>
              <w:numPr>
                <w:ilvl w:val="0"/>
                <w:numId w:val="24"/>
              </w:numPr>
              <w:ind w:left="317"/>
              <w:jc w:val="both"/>
              <w:rPr>
                <w:b/>
                <w:sz w:val="20"/>
                <w:szCs w:val="20"/>
              </w:rPr>
            </w:pPr>
            <w:r w:rsidRPr="004C7550">
              <w:rPr>
                <w:b/>
                <w:sz w:val="20"/>
                <w:szCs w:val="20"/>
              </w:rPr>
              <w:t xml:space="preserve">Proyecto </w:t>
            </w:r>
            <w:r>
              <w:rPr>
                <w:b/>
                <w:sz w:val="20"/>
                <w:szCs w:val="20"/>
              </w:rPr>
              <w:t>–</w:t>
            </w:r>
            <w:r w:rsidRPr="004C7550">
              <w:rPr>
                <w:b/>
                <w:sz w:val="20"/>
                <w:szCs w:val="20"/>
              </w:rPr>
              <w:t xml:space="preserve"> Víctimas</w:t>
            </w:r>
            <w:r>
              <w:rPr>
                <w:b/>
                <w:sz w:val="20"/>
                <w:szCs w:val="20"/>
              </w:rPr>
              <w:t xml:space="preserve">. </w:t>
            </w:r>
            <w:r w:rsidRPr="004C7550">
              <w:rPr>
                <w:b/>
                <w:sz w:val="20"/>
                <w:szCs w:val="20"/>
              </w:rPr>
              <w:t xml:space="preserve">Objetivo: </w:t>
            </w:r>
            <w:r w:rsidRPr="004C7550">
              <w:rPr>
                <w:sz w:val="20"/>
                <w:szCs w:val="20"/>
              </w:rPr>
              <w:t>realizar un análisis legal y jurisprudencial de las órdenes impartidas por las distintas instancias judiciales y, a partir de dicho análisis, proponer alternativas jurídicas y prácticas a las dificultades advertidas, posibilidades de prevención y acción y oportunidades de defensa, con el fin de posibilitar una acción gubernamental que permita al Gobierno desarrollar las finalidades del sistema de justicia transicional.</w:t>
            </w:r>
            <w:r>
              <w:rPr>
                <w:sz w:val="20"/>
                <w:szCs w:val="20"/>
              </w:rPr>
              <w:t xml:space="preserve"> </w:t>
            </w:r>
            <w:r w:rsidRPr="004C7550">
              <w:rPr>
                <w:b/>
                <w:sz w:val="20"/>
                <w:szCs w:val="20"/>
              </w:rPr>
              <w:t>(En desarrollo)</w:t>
            </w:r>
            <w:r>
              <w:rPr>
                <w:b/>
                <w:sz w:val="20"/>
                <w:szCs w:val="20"/>
              </w:rPr>
              <w:t>.</w:t>
            </w:r>
          </w:p>
          <w:p w14:paraId="1EF544FA" w14:textId="77777777" w:rsidR="00192E6B" w:rsidRDefault="00192E6B" w:rsidP="00E46994">
            <w:pPr>
              <w:pStyle w:val="Prrafodelista"/>
              <w:ind w:left="317"/>
              <w:jc w:val="both"/>
              <w:rPr>
                <w:b/>
                <w:sz w:val="20"/>
                <w:szCs w:val="20"/>
              </w:rPr>
            </w:pPr>
          </w:p>
          <w:p w14:paraId="4263F05B" w14:textId="77777777" w:rsidR="00B41BF4" w:rsidRDefault="00B41BF4" w:rsidP="003445A7">
            <w:pPr>
              <w:pStyle w:val="Prrafodelista"/>
              <w:numPr>
                <w:ilvl w:val="0"/>
                <w:numId w:val="24"/>
              </w:numPr>
              <w:ind w:left="317"/>
              <w:jc w:val="both"/>
              <w:rPr>
                <w:b/>
                <w:sz w:val="20"/>
                <w:szCs w:val="20"/>
              </w:rPr>
            </w:pPr>
            <w:r w:rsidRPr="00BB1584">
              <w:rPr>
                <w:b/>
                <w:sz w:val="20"/>
                <w:szCs w:val="20"/>
              </w:rPr>
              <w:t>Proyecto - Archivos institucionales públicos como herramienta para fortalecer la defensa jurídica del Estado</w:t>
            </w:r>
            <w:r>
              <w:rPr>
                <w:b/>
                <w:sz w:val="20"/>
                <w:szCs w:val="20"/>
              </w:rPr>
              <w:t xml:space="preserve">. </w:t>
            </w:r>
            <w:r w:rsidRPr="00BB1584">
              <w:rPr>
                <w:b/>
                <w:sz w:val="20"/>
                <w:szCs w:val="20"/>
              </w:rPr>
              <w:t xml:space="preserve">Objetivo: </w:t>
            </w:r>
            <w:r w:rsidRPr="00BB1584">
              <w:rPr>
                <w:sz w:val="20"/>
                <w:szCs w:val="20"/>
              </w:rPr>
              <w:t>determinar la importancia de los archivos públicos en la defensa jurídica del Estado.</w:t>
            </w:r>
            <w:r>
              <w:rPr>
                <w:sz w:val="20"/>
                <w:szCs w:val="20"/>
              </w:rPr>
              <w:t xml:space="preserve"> </w:t>
            </w:r>
            <w:r w:rsidRPr="00BB1584">
              <w:rPr>
                <w:b/>
                <w:sz w:val="20"/>
                <w:szCs w:val="20"/>
              </w:rPr>
              <w:t>(En desarrollo).</w:t>
            </w:r>
          </w:p>
          <w:p w14:paraId="0F089C1E" w14:textId="77777777" w:rsidR="00192E6B" w:rsidRDefault="00192E6B" w:rsidP="00E46994">
            <w:pPr>
              <w:ind w:left="360"/>
              <w:jc w:val="both"/>
              <w:rPr>
                <w:b/>
                <w:sz w:val="20"/>
                <w:szCs w:val="20"/>
              </w:rPr>
            </w:pPr>
          </w:p>
          <w:p w14:paraId="5859E232" w14:textId="77777777" w:rsidR="00B41BF4" w:rsidRDefault="00B41BF4" w:rsidP="00E46994">
            <w:pPr>
              <w:ind w:left="360"/>
              <w:jc w:val="both"/>
              <w:rPr>
                <w:b/>
                <w:sz w:val="20"/>
                <w:szCs w:val="20"/>
              </w:rPr>
            </w:pPr>
            <w:r w:rsidRPr="00E46994">
              <w:rPr>
                <w:b/>
                <w:sz w:val="20"/>
                <w:szCs w:val="20"/>
              </w:rPr>
              <w:t xml:space="preserve">Proyecto - Análisis e informe FUGCC (Conciliación extrajudicial). Objetivo: </w:t>
            </w:r>
            <w:r w:rsidRPr="00E46994">
              <w:rPr>
                <w:sz w:val="20"/>
                <w:szCs w:val="20"/>
              </w:rPr>
              <w:t xml:space="preserve">elaborar un informe que  permita caracterizar el funcionamiento de la conciliación. </w:t>
            </w:r>
            <w:r w:rsidRPr="00E46994">
              <w:rPr>
                <w:b/>
                <w:sz w:val="20"/>
                <w:szCs w:val="20"/>
              </w:rPr>
              <w:t xml:space="preserve">Impacto: </w:t>
            </w:r>
            <w:r w:rsidRPr="00E46994">
              <w:rPr>
                <w:sz w:val="20"/>
                <w:szCs w:val="20"/>
              </w:rPr>
              <w:t xml:space="preserve">fortalecer el mecanismo de la conciliación. </w:t>
            </w:r>
            <w:r w:rsidRPr="00E46994">
              <w:rPr>
                <w:b/>
                <w:sz w:val="20"/>
                <w:szCs w:val="20"/>
              </w:rPr>
              <w:t>(En desarrollo).</w:t>
            </w:r>
          </w:p>
          <w:p w14:paraId="0B4773F4" w14:textId="77777777" w:rsidR="00192E6B" w:rsidRPr="00E46994" w:rsidRDefault="00192E6B" w:rsidP="00E46994">
            <w:pPr>
              <w:ind w:left="360"/>
              <w:jc w:val="both"/>
              <w:rPr>
                <w:sz w:val="20"/>
                <w:szCs w:val="20"/>
              </w:rPr>
            </w:pPr>
          </w:p>
          <w:p w14:paraId="4F381EAC" w14:textId="77777777" w:rsidR="00B41BF4" w:rsidRPr="00DE1ABD" w:rsidRDefault="00B41BF4" w:rsidP="003445A7">
            <w:pPr>
              <w:pStyle w:val="Prrafodelista"/>
              <w:numPr>
                <w:ilvl w:val="0"/>
                <w:numId w:val="24"/>
              </w:numPr>
              <w:ind w:left="317"/>
              <w:jc w:val="both"/>
              <w:rPr>
                <w:b/>
                <w:sz w:val="20"/>
                <w:szCs w:val="20"/>
              </w:rPr>
            </w:pPr>
            <w:r w:rsidRPr="00DE1ABD">
              <w:rPr>
                <w:b/>
                <w:sz w:val="20"/>
                <w:szCs w:val="20"/>
              </w:rPr>
              <w:t>Proyecto - Desarrollo  y actualización de la base de datos de la jurisprudencia del Consejo de Estado. Objetivo</w:t>
            </w:r>
            <w:r w:rsidRPr="00DE1ABD">
              <w:rPr>
                <w:sz w:val="20"/>
                <w:szCs w:val="20"/>
              </w:rPr>
              <w:t>: Mantener actualizada una base de datos en la DPE, con la jurisprudencia del Consejo de Estado, materia prima de los proyectos que adelanta la Dirección.</w:t>
            </w:r>
            <w:r>
              <w:rPr>
                <w:sz w:val="20"/>
                <w:szCs w:val="20"/>
              </w:rPr>
              <w:t xml:space="preserve"> </w:t>
            </w:r>
            <w:r w:rsidRPr="00DE1ABD">
              <w:rPr>
                <w:b/>
                <w:sz w:val="20"/>
                <w:szCs w:val="20"/>
              </w:rPr>
              <w:t xml:space="preserve">Impacto: </w:t>
            </w:r>
            <w:r w:rsidRPr="00DE1ABD">
              <w:rPr>
                <w:sz w:val="20"/>
                <w:szCs w:val="20"/>
              </w:rPr>
              <w:t>Insumo para la elaboración de políticas de prevención del daño antijurídico y formulación de estrategias de defensa.</w:t>
            </w:r>
            <w:r>
              <w:rPr>
                <w:sz w:val="20"/>
                <w:szCs w:val="20"/>
              </w:rPr>
              <w:t xml:space="preserve"> </w:t>
            </w:r>
            <w:r>
              <w:rPr>
                <w:b/>
                <w:sz w:val="20"/>
                <w:szCs w:val="20"/>
              </w:rPr>
              <w:t>(En desarrollo).</w:t>
            </w:r>
            <w:r w:rsidRPr="00DE1ABD">
              <w:rPr>
                <w:b/>
                <w:sz w:val="20"/>
                <w:szCs w:val="20"/>
              </w:rPr>
              <w:t xml:space="preserve"> </w:t>
            </w:r>
            <w:r>
              <w:rPr>
                <w:b/>
                <w:sz w:val="20"/>
                <w:szCs w:val="20"/>
              </w:rPr>
              <w:t xml:space="preserve"> </w:t>
            </w:r>
          </w:p>
          <w:p w14:paraId="36FD8DD1" w14:textId="77777777" w:rsidR="00B41BF4" w:rsidRDefault="00B41BF4" w:rsidP="00E35227">
            <w:pPr>
              <w:pStyle w:val="Prrafodelista"/>
              <w:ind w:left="317"/>
              <w:jc w:val="both"/>
              <w:rPr>
                <w:b/>
                <w:sz w:val="20"/>
                <w:szCs w:val="20"/>
              </w:rPr>
            </w:pPr>
          </w:p>
          <w:p w14:paraId="383662E4" w14:textId="77777777" w:rsidR="007E129E" w:rsidRPr="00305BC6" w:rsidRDefault="007E129E" w:rsidP="00E35227">
            <w:pPr>
              <w:pStyle w:val="Prrafodelista"/>
              <w:ind w:left="317"/>
              <w:jc w:val="both"/>
              <w:rPr>
                <w:b/>
                <w:sz w:val="20"/>
                <w:szCs w:val="20"/>
              </w:rPr>
            </w:pPr>
          </w:p>
        </w:tc>
      </w:tr>
      <w:tr w:rsidR="008D0522" w:rsidRPr="004E5F7F" w14:paraId="05F7F4CE" w14:textId="77777777" w:rsidTr="0058715C">
        <w:tc>
          <w:tcPr>
            <w:tcW w:w="2410" w:type="dxa"/>
            <w:shd w:val="clear" w:color="auto" w:fill="33CCCC"/>
          </w:tcPr>
          <w:p w14:paraId="5E4A077F" w14:textId="77777777" w:rsidR="0058715C" w:rsidRDefault="0058715C" w:rsidP="000C7FB3">
            <w:pPr>
              <w:jc w:val="both"/>
              <w:rPr>
                <w:b/>
              </w:rPr>
            </w:pPr>
          </w:p>
          <w:p w14:paraId="590E7E5C" w14:textId="77777777" w:rsidR="0058715C" w:rsidRDefault="0058715C" w:rsidP="000C7FB3">
            <w:pPr>
              <w:jc w:val="both"/>
              <w:rPr>
                <w:b/>
              </w:rPr>
            </w:pPr>
          </w:p>
          <w:p w14:paraId="1C12667E" w14:textId="77777777" w:rsidR="0058715C" w:rsidRDefault="0058715C" w:rsidP="000C7FB3">
            <w:pPr>
              <w:jc w:val="both"/>
              <w:rPr>
                <w:b/>
              </w:rPr>
            </w:pPr>
          </w:p>
          <w:p w14:paraId="08F2A5CD" w14:textId="77777777" w:rsidR="0058715C" w:rsidRDefault="0058715C" w:rsidP="000C7FB3">
            <w:pPr>
              <w:jc w:val="both"/>
              <w:rPr>
                <w:b/>
              </w:rPr>
            </w:pPr>
          </w:p>
          <w:p w14:paraId="5FCF5B86" w14:textId="77777777" w:rsidR="00B41BF4" w:rsidRPr="004B6666" w:rsidRDefault="00B41BF4" w:rsidP="0058715C">
            <w:pPr>
              <w:jc w:val="center"/>
              <w:rPr>
                <w:b/>
              </w:rPr>
            </w:pPr>
            <w:r w:rsidRPr="004B6666">
              <w:rPr>
                <w:b/>
              </w:rPr>
              <w:t>DIRECCIÓN DE DEFENSA JURIDICA</w:t>
            </w:r>
          </w:p>
        </w:tc>
        <w:tc>
          <w:tcPr>
            <w:tcW w:w="6549" w:type="dxa"/>
          </w:tcPr>
          <w:p w14:paraId="30F70A68" w14:textId="77777777" w:rsidR="00192E6B" w:rsidRPr="00E46994" w:rsidRDefault="00B41BF4" w:rsidP="003445A7">
            <w:pPr>
              <w:numPr>
                <w:ilvl w:val="0"/>
                <w:numId w:val="25"/>
              </w:numPr>
              <w:jc w:val="both"/>
              <w:rPr>
                <w:i/>
              </w:rPr>
            </w:pPr>
            <w:r w:rsidRPr="00B41BF4">
              <w:rPr>
                <w:b/>
              </w:rPr>
              <w:t>Acción:</w:t>
            </w:r>
            <w:r w:rsidRPr="00B41BF4">
              <w:t xml:space="preserve"> </w:t>
            </w:r>
            <w:r w:rsidRPr="00B41BF4">
              <w:rPr>
                <w:i/>
              </w:rPr>
              <w:t xml:space="preserve">Diseño de protocolos para una efectiva defensa de los intereses del Estado, así como una efectiva promoción de los Mecanismos Alternativos de Solución de Conflictos.  </w:t>
            </w:r>
            <w:r w:rsidRPr="00B41BF4">
              <w:t xml:space="preserve">La DDJ ha elaborado protocolos para la promoción de la conciliación en temáticas como: </w:t>
            </w:r>
          </w:p>
          <w:p w14:paraId="105712BF" w14:textId="77777777" w:rsidR="00192E6B" w:rsidRDefault="00B41BF4" w:rsidP="00E46994">
            <w:pPr>
              <w:ind w:left="360"/>
              <w:jc w:val="both"/>
            </w:pPr>
            <w:r w:rsidRPr="00B41BF4">
              <w:t>Privación injusta de la libertad</w:t>
            </w:r>
          </w:p>
          <w:p w14:paraId="7776F07E" w14:textId="77777777" w:rsidR="00192E6B" w:rsidRDefault="00192E6B" w:rsidP="00E46994">
            <w:pPr>
              <w:ind w:left="360"/>
              <w:jc w:val="both"/>
            </w:pPr>
            <w:r>
              <w:t>E</w:t>
            </w:r>
            <w:r w:rsidR="00B41BF4" w:rsidRPr="00B41BF4">
              <w:t>nriquecimiento sin justa causa</w:t>
            </w:r>
          </w:p>
          <w:p w14:paraId="28F4FA13" w14:textId="77777777" w:rsidR="00192E6B" w:rsidRDefault="00192E6B" w:rsidP="00E46994">
            <w:pPr>
              <w:ind w:left="360"/>
              <w:jc w:val="both"/>
            </w:pPr>
            <w:r>
              <w:t>L</w:t>
            </w:r>
            <w:r w:rsidR="00B41BF4" w:rsidRPr="00B41BF4">
              <w:t>esiones  o muerte (daño) con arma de dotación</w:t>
            </w:r>
          </w:p>
          <w:p w14:paraId="592A7EBF" w14:textId="77777777" w:rsidR="00B41BF4" w:rsidRPr="00B41BF4" w:rsidRDefault="00192E6B" w:rsidP="00E46994">
            <w:pPr>
              <w:ind w:left="360"/>
              <w:jc w:val="both"/>
              <w:rPr>
                <w:i/>
              </w:rPr>
            </w:pPr>
            <w:r>
              <w:t>L</w:t>
            </w:r>
            <w:r w:rsidR="00B41BF4" w:rsidRPr="00B41BF4">
              <w:t>esiones o muerte (daño) a reclusos y lesiones o muerte (daño) con vehículo oficial.</w:t>
            </w:r>
          </w:p>
          <w:p w14:paraId="4E4D490A" w14:textId="77777777" w:rsidR="00B41BF4" w:rsidRPr="004E5F7F" w:rsidRDefault="00B41BF4" w:rsidP="000C7FB3">
            <w:pPr>
              <w:jc w:val="both"/>
            </w:pPr>
          </w:p>
        </w:tc>
      </w:tr>
    </w:tbl>
    <w:p w14:paraId="14773318" w14:textId="77777777" w:rsidR="00B41BF4" w:rsidRPr="004E5F7F" w:rsidRDefault="00B41BF4" w:rsidP="000C7FB3">
      <w:pPr>
        <w:spacing w:after="0"/>
        <w:jc w:val="both"/>
      </w:pPr>
    </w:p>
    <w:p w14:paraId="3BEFD24C" w14:textId="77777777" w:rsidR="00192E6B" w:rsidRDefault="00192E6B" w:rsidP="001F04BC">
      <w:pPr>
        <w:jc w:val="center"/>
        <w:rPr>
          <w:rFonts w:cs="Arial"/>
          <w:b/>
          <w:color w:val="FF0000"/>
          <w:lang w:val="es-CO"/>
        </w:rPr>
      </w:pPr>
    </w:p>
    <w:p w14:paraId="7A637862" w14:textId="77777777" w:rsidR="007E129E" w:rsidRDefault="007E129E" w:rsidP="001F04BC">
      <w:pPr>
        <w:jc w:val="center"/>
        <w:rPr>
          <w:rFonts w:cs="Arial"/>
          <w:b/>
          <w:color w:val="FF0000"/>
          <w:lang w:val="es-CO"/>
        </w:rPr>
      </w:pPr>
    </w:p>
    <w:p w14:paraId="550E5271" w14:textId="77777777" w:rsidR="007E129E" w:rsidRDefault="007E129E" w:rsidP="001F04BC">
      <w:pPr>
        <w:jc w:val="center"/>
        <w:rPr>
          <w:rFonts w:cs="Arial"/>
          <w:b/>
          <w:color w:val="FF0000"/>
          <w:lang w:val="es-CO"/>
        </w:rPr>
      </w:pPr>
    </w:p>
    <w:p w14:paraId="217DA938" w14:textId="77777777" w:rsidR="00B41BF4" w:rsidRPr="001F04BC" w:rsidRDefault="001F04BC" w:rsidP="001F04BC">
      <w:pPr>
        <w:jc w:val="center"/>
        <w:rPr>
          <w:rFonts w:cs="Arial"/>
          <w:b/>
          <w:lang w:val="es-CO"/>
        </w:rPr>
      </w:pPr>
      <w:r w:rsidRPr="00E46994">
        <w:rPr>
          <w:rFonts w:cs="Arial"/>
          <w:b/>
          <w:sz w:val="20"/>
          <w:szCs w:val="20"/>
          <w:lang w:val="es-CO"/>
        </w:rPr>
        <w:lastRenderedPageBreak/>
        <w:t xml:space="preserve">Tabla </w:t>
      </w:r>
      <w:r w:rsidR="00A33517">
        <w:rPr>
          <w:rFonts w:cs="Arial"/>
          <w:b/>
          <w:sz w:val="20"/>
          <w:szCs w:val="20"/>
          <w:lang w:val="es-CO"/>
        </w:rPr>
        <w:t>21</w:t>
      </w:r>
      <w:r w:rsidRPr="00E46994">
        <w:rPr>
          <w:rFonts w:cs="Arial"/>
          <w:b/>
          <w:sz w:val="20"/>
          <w:szCs w:val="20"/>
          <w:lang w:val="es-CO"/>
        </w:rPr>
        <w:t>.</w:t>
      </w:r>
      <w:r w:rsidRPr="00E46994">
        <w:rPr>
          <w:rFonts w:cs="Arial"/>
          <w:b/>
          <w:lang w:val="es-CO"/>
        </w:rPr>
        <w:t xml:space="preserve"> </w:t>
      </w:r>
      <w:r w:rsidRPr="001F04BC">
        <w:rPr>
          <w:rFonts w:cs="Arial"/>
          <w:b/>
          <w:lang w:val="es-CO"/>
        </w:rPr>
        <w:t>Acciones trasversales al ciclo de defensa</w:t>
      </w:r>
      <w:r w:rsidR="00BF17F9">
        <w:rPr>
          <w:rFonts w:cs="Arial"/>
          <w:b/>
          <w:lang w:val="es-CO"/>
        </w:rPr>
        <w:t xml:space="preserve"> </w:t>
      </w:r>
    </w:p>
    <w:tbl>
      <w:tblPr>
        <w:tblStyle w:val="Tablaconcuadrcula"/>
        <w:tblW w:w="8959" w:type="dxa"/>
        <w:tblInd w:w="108" w:type="dxa"/>
        <w:tblLook w:val="04A0" w:firstRow="1" w:lastRow="0" w:firstColumn="1" w:lastColumn="0" w:noHBand="0" w:noVBand="1"/>
      </w:tblPr>
      <w:tblGrid>
        <w:gridCol w:w="2410"/>
        <w:gridCol w:w="6549"/>
      </w:tblGrid>
      <w:tr w:rsidR="004B6666" w14:paraId="3124968E" w14:textId="77777777" w:rsidTr="00A33517">
        <w:trPr>
          <w:trHeight w:val="269"/>
        </w:trPr>
        <w:tc>
          <w:tcPr>
            <w:tcW w:w="8959" w:type="dxa"/>
            <w:gridSpan w:val="2"/>
          </w:tcPr>
          <w:p w14:paraId="6CD19FF5" w14:textId="77777777" w:rsidR="004B6666" w:rsidRDefault="004B6666" w:rsidP="00A33517">
            <w:pPr>
              <w:spacing w:line="276" w:lineRule="auto"/>
              <w:jc w:val="center"/>
              <w:rPr>
                <w:b/>
              </w:rPr>
            </w:pPr>
            <w:r w:rsidRPr="00A649D5">
              <w:rPr>
                <w:b/>
              </w:rPr>
              <w:t>ACCIONES DE IMPACTO TRANSVERSAL AL CICLO DE LA DEFENSA JURÍDICA</w:t>
            </w:r>
          </w:p>
          <w:p w14:paraId="40F2794F" w14:textId="77777777" w:rsidR="00484245" w:rsidRPr="006174FB" w:rsidRDefault="00484245" w:rsidP="00A33517">
            <w:pPr>
              <w:spacing w:line="276" w:lineRule="auto"/>
              <w:jc w:val="center"/>
              <w:rPr>
                <w:b/>
              </w:rPr>
            </w:pPr>
          </w:p>
        </w:tc>
      </w:tr>
      <w:tr w:rsidR="00B41BF4" w14:paraId="1CAE872D" w14:textId="77777777" w:rsidTr="00E46994">
        <w:trPr>
          <w:trHeight w:val="114"/>
        </w:trPr>
        <w:tc>
          <w:tcPr>
            <w:tcW w:w="2410" w:type="dxa"/>
            <w:shd w:val="clear" w:color="auto" w:fill="CCC0D9" w:themeFill="accent4" w:themeFillTint="66"/>
          </w:tcPr>
          <w:p w14:paraId="63B08AAB" w14:textId="77777777" w:rsidR="0058715C" w:rsidRDefault="0058715C" w:rsidP="000C7FB3">
            <w:pPr>
              <w:spacing w:line="276" w:lineRule="auto"/>
              <w:jc w:val="center"/>
              <w:rPr>
                <w:b/>
              </w:rPr>
            </w:pPr>
          </w:p>
          <w:p w14:paraId="06C4AE19" w14:textId="77777777" w:rsidR="0058715C" w:rsidRDefault="0058715C" w:rsidP="000C7FB3">
            <w:pPr>
              <w:spacing w:line="276" w:lineRule="auto"/>
              <w:jc w:val="center"/>
              <w:rPr>
                <w:b/>
              </w:rPr>
            </w:pPr>
          </w:p>
          <w:p w14:paraId="42579EBE" w14:textId="77777777" w:rsidR="0058715C" w:rsidRDefault="0058715C" w:rsidP="000C7FB3">
            <w:pPr>
              <w:spacing w:line="276" w:lineRule="auto"/>
              <w:jc w:val="center"/>
              <w:rPr>
                <w:b/>
              </w:rPr>
            </w:pPr>
          </w:p>
          <w:p w14:paraId="3671B890" w14:textId="77777777" w:rsidR="0058715C" w:rsidRDefault="0058715C" w:rsidP="000C7FB3">
            <w:pPr>
              <w:spacing w:line="276" w:lineRule="auto"/>
              <w:jc w:val="center"/>
              <w:rPr>
                <w:b/>
              </w:rPr>
            </w:pPr>
          </w:p>
          <w:p w14:paraId="43C24879" w14:textId="77777777" w:rsidR="0058715C" w:rsidRDefault="0058715C" w:rsidP="000C7FB3">
            <w:pPr>
              <w:spacing w:line="276" w:lineRule="auto"/>
              <w:jc w:val="center"/>
              <w:rPr>
                <w:b/>
              </w:rPr>
            </w:pPr>
          </w:p>
          <w:p w14:paraId="0F6333D6" w14:textId="77777777" w:rsidR="0058715C" w:rsidRDefault="0058715C" w:rsidP="000C7FB3">
            <w:pPr>
              <w:spacing w:line="276" w:lineRule="auto"/>
              <w:jc w:val="center"/>
              <w:rPr>
                <w:b/>
              </w:rPr>
            </w:pPr>
          </w:p>
          <w:p w14:paraId="6BC83F1A" w14:textId="77777777" w:rsidR="0058715C" w:rsidRDefault="0058715C" w:rsidP="000C7FB3">
            <w:pPr>
              <w:spacing w:line="276" w:lineRule="auto"/>
              <w:jc w:val="center"/>
              <w:rPr>
                <w:b/>
              </w:rPr>
            </w:pPr>
          </w:p>
          <w:p w14:paraId="7C29C8A5" w14:textId="77777777" w:rsidR="0058715C" w:rsidRDefault="0058715C" w:rsidP="000C7FB3">
            <w:pPr>
              <w:spacing w:line="276" w:lineRule="auto"/>
              <w:jc w:val="center"/>
              <w:rPr>
                <w:b/>
              </w:rPr>
            </w:pPr>
          </w:p>
          <w:p w14:paraId="6A035A0D" w14:textId="77777777" w:rsidR="0058715C" w:rsidRDefault="0058715C" w:rsidP="000C7FB3">
            <w:pPr>
              <w:spacing w:line="276" w:lineRule="auto"/>
              <w:jc w:val="center"/>
              <w:rPr>
                <w:b/>
              </w:rPr>
            </w:pPr>
          </w:p>
          <w:p w14:paraId="1DA28528" w14:textId="77777777" w:rsidR="0058715C" w:rsidRDefault="0058715C" w:rsidP="000C7FB3">
            <w:pPr>
              <w:spacing w:line="276" w:lineRule="auto"/>
              <w:jc w:val="center"/>
              <w:rPr>
                <w:b/>
              </w:rPr>
            </w:pPr>
          </w:p>
          <w:p w14:paraId="7EDB209A" w14:textId="77777777" w:rsidR="0058715C" w:rsidRDefault="0058715C" w:rsidP="000C7FB3">
            <w:pPr>
              <w:spacing w:line="276" w:lineRule="auto"/>
              <w:jc w:val="center"/>
              <w:rPr>
                <w:b/>
              </w:rPr>
            </w:pPr>
          </w:p>
          <w:p w14:paraId="377EA251" w14:textId="77777777" w:rsidR="0058715C" w:rsidRDefault="0058715C" w:rsidP="000C7FB3">
            <w:pPr>
              <w:spacing w:line="276" w:lineRule="auto"/>
              <w:jc w:val="center"/>
              <w:rPr>
                <w:b/>
              </w:rPr>
            </w:pPr>
          </w:p>
          <w:p w14:paraId="1025C656" w14:textId="77777777" w:rsidR="0058715C" w:rsidRDefault="0058715C" w:rsidP="000C7FB3">
            <w:pPr>
              <w:spacing w:line="276" w:lineRule="auto"/>
              <w:jc w:val="center"/>
              <w:rPr>
                <w:b/>
              </w:rPr>
            </w:pPr>
          </w:p>
          <w:p w14:paraId="14367A9B" w14:textId="77777777" w:rsidR="0058715C" w:rsidRDefault="0058715C" w:rsidP="000C7FB3">
            <w:pPr>
              <w:spacing w:line="276" w:lineRule="auto"/>
              <w:jc w:val="center"/>
              <w:rPr>
                <w:b/>
              </w:rPr>
            </w:pPr>
          </w:p>
          <w:p w14:paraId="090A49FA" w14:textId="77777777" w:rsidR="0058715C" w:rsidRDefault="0058715C" w:rsidP="000C7FB3">
            <w:pPr>
              <w:spacing w:line="276" w:lineRule="auto"/>
              <w:jc w:val="center"/>
              <w:rPr>
                <w:b/>
              </w:rPr>
            </w:pPr>
          </w:p>
          <w:p w14:paraId="6AC4C21A" w14:textId="77777777" w:rsidR="00B41BF4" w:rsidRPr="006174FB" w:rsidRDefault="00B41BF4" w:rsidP="000C7FB3">
            <w:pPr>
              <w:spacing w:line="276" w:lineRule="auto"/>
              <w:jc w:val="center"/>
              <w:rPr>
                <w:b/>
              </w:rPr>
            </w:pPr>
            <w:r>
              <w:rPr>
                <w:b/>
              </w:rPr>
              <w:t>DIRECCIÓN DE POLÍTICAS Y ESTRATEGIAS</w:t>
            </w:r>
          </w:p>
        </w:tc>
        <w:tc>
          <w:tcPr>
            <w:tcW w:w="6549" w:type="dxa"/>
          </w:tcPr>
          <w:p w14:paraId="195747D3" w14:textId="77777777" w:rsidR="00B41BF4" w:rsidRPr="00484245" w:rsidRDefault="00B41BF4" w:rsidP="003445A7">
            <w:pPr>
              <w:pStyle w:val="Prrafodelista"/>
              <w:numPr>
                <w:ilvl w:val="0"/>
                <w:numId w:val="26"/>
              </w:numPr>
              <w:ind w:left="360"/>
              <w:jc w:val="both"/>
              <w:rPr>
                <w:sz w:val="20"/>
                <w:szCs w:val="20"/>
              </w:rPr>
            </w:pPr>
            <w:r w:rsidRPr="00F8761C">
              <w:rPr>
                <w:b/>
                <w:sz w:val="20"/>
                <w:szCs w:val="20"/>
              </w:rPr>
              <w:t xml:space="preserve">Diálogos </w:t>
            </w:r>
            <w:r w:rsidRPr="004B6666">
              <w:rPr>
                <w:b/>
                <w:sz w:val="20"/>
                <w:szCs w:val="20"/>
              </w:rPr>
              <w:t>Jurídicos. Objetivos:</w:t>
            </w:r>
            <w:r w:rsidRPr="004B6666">
              <w:rPr>
                <w:rFonts w:eastAsia="MS PGothic" w:hAnsi="Calibri"/>
                <w:b/>
                <w:color w:val="000000" w:themeColor="text1"/>
                <w:kern w:val="24"/>
                <w:sz w:val="20"/>
                <w:szCs w:val="20"/>
                <w:lang w:eastAsia="es-CO"/>
              </w:rPr>
              <w:t xml:space="preserve"> </w:t>
            </w:r>
            <w:r w:rsidRPr="004B6666">
              <w:rPr>
                <w:sz w:val="20"/>
                <w:szCs w:val="20"/>
              </w:rPr>
              <w:t xml:space="preserve">acercar los operadores jurídicos a los actores de la rama judicial. </w:t>
            </w:r>
            <w:r w:rsidRPr="004B6666">
              <w:rPr>
                <w:b/>
                <w:sz w:val="20"/>
                <w:szCs w:val="20"/>
              </w:rPr>
              <w:t>Impacto:</w:t>
            </w:r>
            <w:r w:rsidRPr="004B6666">
              <w:rPr>
                <w:b/>
                <w:bCs/>
                <w:sz w:val="20"/>
                <w:szCs w:val="20"/>
              </w:rPr>
              <w:t xml:space="preserve"> </w:t>
            </w:r>
            <w:r w:rsidRPr="004B6666">
              <w:rPr>
                <w:bCs/>
                <w:sz w:val="20"/>
                <w:szCs w:val="20"/>
              </w:rPr>
              <w:t xml:space="preserve">participación </w:t>
            </w:r>
            <w:r w:rsidRPr="004B6666">
              <w:rPr>
                <w:sz w:val="20"/>
                <w:szCs w:val="20"/>
              </w:rPr>
              <w:t xml:space="preserve">en lo corrido del año de 156 abogados  de las entidades que llevan la defensa del estado. </w:t>
            </w:r>
            <w:r w:rsidRPr="004B6666">
              <w:rPr>
                <w:b/>
                <w:sz w:val="20"/>
                <w:szCs w:val="20"/>
              </w:rPr>
              <w:t>(En desarrollo).</w:t>
            </w:r>
          </w:p>
          <w:p w14:paraId="446B1E2D" w14:textId="77777777" w:rsidR="00484245" w:rsidRPr="004B6666" w:rsidRDefault="00484245" w:rsidP="00484245">
            <w:pPr>
              <w:pStyle w:val="Prrafodelista"/>
              <w:ind w:left="360"/>
              <w:jc w:val="both"/>
              <w:rPr>
                <w:sz w:val="20"/>
                <w:szCs w:val="20"/>
              </w:rPr>
            </w:pPr>
          </w:p>
          <w:p w14:paraId="5C718AD9" w14:textId="77777777" w:rsidR="00B41BF4" w:rsidRPr="004B6666" w:rsidRDefault="00B41BF4" w:rsidP="004B6666">
            <w:pPr>
              <w:pStyle w:val="Prrafodelista"/>
              <w:ind w:left="360"/>
              <w:jc w:val="both"/>
              <w:rPr>
                <w:sz w:val="20"/>
                <w:szCs w:val="20"/>
              </w:rPr>
            </w:pPr>
            <w:r w:rsidRPr="004B6666">
              <w:rPr>
                <w:b/>
                <w:sz w:val="20"/>
                <w:szCs w:val="20"/>
              </w:rPr>
              <w:t>Producto</w:t>
            </w:r>
            <w:r w:rsidRPr="004B6666">
              <w:rPr>
                <w:sz w:val="20"/>
                <w:szCs w:val="20"/>
              </w:rPr>
              <w:t>:</w:t>
            </w:r>
          </w:p>
          <w:p w14:paraId="0AE89342" w14:textId="77777777" w:rsidR="00B41BF4" w:rsidRPr="004B6666" w:rsidRDefault="00B41BF4" w:rsidP="003445A7">
            <w:pPr>
              <w:pStyle w:val="Prrafodelista"/>
              <w:numPr>
                <w:ilvl w:val="0"/>
                <w:numId w:val="26"/>
              </w:numPr>
              <w:ind w:left="360"/>
              <w:jc w:val="both"/>
              <w:rPr>
                <w:sz w:val="20"/>
                <w:szCs w:val="20"/>
              </w:rPr>
            </w:pPr>
            <w:r w:rsidRPr="004B6666">
              <w:rPr>
                <w:sz w:val="20"/>
                <w:szCs w:val="20"/>
              </w:rPr>
              <w:t>Diálogo 1. Luis Rafael Vergara Quintero. “Evolución de la jurisprudencia de la sección segunda del concejo de Estado”.</w:t>
            </w:r>
          </w:p>
          <w:p w14:paraId="1765F816" w14:textId="77777777" w:rsidR="00B41BF4" w:rsidRPr="004B6666" w:rsidRDefault="00B41BF4" w:rsidP="004B6666">
            <w:pPr>
              <w:ind w:left="-360"/>
              <w:jc w:val="both"/>
              <w:rPr>
                <w:sz w:val="20"/>
                <w:szCs w:val="20"/>
              </w:rPr>
            </w:pPr>
          </w:p>
          <w:p w14:paraId="3DEB24CE" w14:textId="77777777" w:rsidR="00B41BF4" w:rsidRPr="004B6666" w:rsidRDefault="00B41BF4" w:rsidP="003445A7">
            <w:pPr>
              <w:pStyle w:val="Prrafodelista"/>
              <w:numPr>
                <w:ilvl w:val="0"/>
                <w:numId w:val="26"/>
              </w:numPr>
              <w:ind w:left="360"/>
              <w:jc w:val="both"/>
              <w:rPr>
                <w:sz w:val="20"/>
                <w:szCs w:val="20"/>
              </w:rPr>
            </w:pPr>
            <w:r w:rsidRPr="004B6666">
              <w:rPr>
                <w:b/>
                <w:sz w:val="20"/>
                <w:szCs w:val="20"/>
              </w:rPr>
              <w:t>Diálogo</w:t>
            </w:r>
            <w:r w:rsidRPr="004B6666">
              <w:rPr>
                <w:sz w:val="20"/>
                <w:szCs w:val="20"/>
              </w:rPr>
              <w:t xml:space="preserve"> </w:t>
            </w:r>
            <w:r w:rsidRPr="004B6666">
              <w:rPr>
                <w:b/>
                <w:sz w:val="20"/>
                <w:szCs w:val="20"/>
              </w:rPr>
              <w:t>2.</w:t>
            </w:r>
            <w:r w:rsidRPr="004B6666">
              <w:rPr>
                <w:sz w:val="20"/>
                <w:szCs w:val="20"/>
              </w:rPr>
              <w:t xml:space="preserve"> Fabián Gonzalo Marín. “Aspectos relevantes del medio de control de controversias Contractuales”.</w:t>
            </w:r>
          </w:p>
          <w:p w14:paraId="00EFD140" w14:textId="77777777" w:rsidR="00B41BF4" w:rsidRPr="004B6666" w:rsidRDefault="00B41BF4" w:rsidP="004B6666">
            <w:pPr>
              <w:ind w:left="-360"/>
              <w:jc w:val="both"/>
              <w:rPr>
                <w:sz w:val="20"/>
                <w:szCs w:val="20"/>
              </w:rPr>
            </w:pPr>
          </w:p>
          <w:p w14:paraId="0B3B32A2" w14:textId="77777777" w:rsidR="00B41BF4" w:rsidRPr="004B6666" w:rsidRDefault="00B41BF4" w:rsidP="003445A7">
            <w:pPr>
              <w:pStyle w:val="Prrafodelista"/>
              <w:numPr>
                <w:ilvl w:val="0"/>
                <w:numId w:val="26"/>
              </w:numPr>
              <w:ind w:left="360"/>
              <w:jc w:val="both"/>
              <w:rPr>
                <w:sz w:val="20"/>
                <w:szCs w:val="20"/>
              </w:rPr>
            </w:pPr>
            <w:r w:rsidRPr="004B6666">
              <w:rPr>
                <w:b/>
                <w:sz w:val="20"/>
                <w:szCs w:val="20"/>
              </w:rPr>
              <w:t>Diálogo</w:t>
            </w:r>
            <w:r w:rsidRPr="004B6666">
              <w:rPr>
                <w:sz w:val="20"/>
                <w:szCs w:val="20"/>
              </w:rPr>
              <w:t xml:space="preserve"> </w:t>
            </w:r>
            <w:r w:rsidRPr="004B6666">
              <w:rPr>
                <w:b/>
                <w:sz w:val="20"/>
                <w:szCs w:val="20"/>
              </w:rPr>
              <w:t>3.</w:t>
            </w:r>
            <w:r w:rsidRPr="004B6666">
              <w:rPr>
                <w:sz w:val="20"/>
                <w:szCs w:val="20"/>
              </w:rPr>
              <w:t xml:space="preserve"> Roberto Molina Palacios. “Aspectos relevantes de la privación injusta de la libertad”.</w:t>
            </w:r>
          </w:p>
          <w:p w14:paraId="79123509" w14:textId="77777777" w:rsidR="00B41BF4" w:rsidRPr="004B6666" w:rsidRDefault="00B41BF4" w:rsidP="004B6666">
            <w:pPr>
              <w:ind w:left="-360"/>
              <w:jc w:val="both"/>
              <w:rPr>
                <w:sz w:val="20"/>
                <w:szCs w:val="20"/>
              </w:rPr>
            </w:pPr>
          </w:p>
          <w:p w14:paraId="4A898AD9" w14:textId="77777777" w:rsidR="00B41BF4" w:rsidRPr="004B6666" w:rsidRDefault="00B41BF4" w:rsidP="003445A7">
            <w:pPr>
              <w:pStyle w:val="Prrafodelista"/>
              <w:numPr>
                <w:ilvl w:val="0"/>
                <w:numId w:val="26"/>
              </w:numPr>
              <w:ind w:left="360"/>
              <w:jc w:val="both"/>
              <w:rPr>
                <w:sz w:val="20"/>
                <w:szCs w:val="20"/>
              </w:rPr>
            </w:pPr>
            <w:r w:rsidRPr="004B6666">
              <w:rPr>
                <w:b/>
                <w:sz w:val="20"/>
                <w:szCs w:val="20"/>
              </w:rPr>
              <w:t>Diálogo 4.</w:t>
            </w:r>
            <w:r w:rsidRPr="004B6666">
              <w:rPr>
                <w:sz w:val="20"/>
                <w:szCs w:val="20"/>
              </w:rPr>
              <w:t xml:space="preserve"> Roberto Serrato Valdés,  “Aspectos relevantes de la conciliación”.</w:t>
            </w:r>
          </w:p>
          <w:p w14:paraId="19A090B5" w14:textId="77777777" w:rsidR="00B41BF4" w:rsidRPr="004B6666" w:rsidRDefault="00B41BF4" w:rsidP="004B6666">
            <w:pPr>
              <w:ind w:left="-360"/>
              <w:jc w:val="both"/>
              <w:rPr>
                <w:sz w:val="20"/>
                <w:szCs w:val="20"/>
              </w:rPr>
            </w:pPr>
          </w:p>
          <w:p w14:paraId="3FDC3C7B" w14:textId="77777777" w:rsidR="00B41BF4" w:rsidRPr="004B6666" w:rsidRDefault="00B41BF4" w:rsidP="003445A7">
            <w:pPr>
              <w:pStyle w:val="Prrafodelista"/>
              <w:numPr>
                <w:ilvl w:val="0"/>
                <w:numId w:val="26"/>
              </w:numPr>
              <w:ind w:left="360"/>
              <w:jc w:val="both"/>
              <w:rPr>
                <w:sz w:val="20"/>
                <w:szCs w:val="20"/>
              </w:rPr>
            </w:pPr>
            <w:r w:rsidRPr="004B6666">
              <w:rPr>
                <w:b/>
                <w:sz w:val="20"/>
                <w:szCs w:val="20"/>
              </w:rPr>
              <w:t>Diálogo 5.</w:t>
            </w:r>
            <w:r w:rsidRPr="004B6666">
              <w:rPr>
                <w:sz w:val="20"/>
                <w:szCs w:val="20"/>
              </w:rPr>
              <w:t xml:space="preserve"> William Zambrano Cetina – el tema: “Extensión de la jurisprudencia del concejo de Estado a Terceros por parte de las autoridades y su procedimiento”.</w:t>
            </w:r>
          </w:p>
          <w:p w14:paraId="7F091485" w14:textId="77777777" w:rsidR="00B41BF4" w:rsidRPr="004B6666" w:rsidRDefault="00B41BF4" w:rsidP="004B6666">
            <w:pPr>
              <w:ind w:left="-360"/>
              <w:jc w:val="both"/>
              <w:rPr>
                <w:sz w:val="20"/>
                <w:szCs w:val="20"/>
              </w:rPr>
            </w:pPr>
          </w:p>
          <w:p w14:paraId="1A652A5B" w14:textId="77777777" w:rsidR="00B41BF4" w:rsidRPr="004B6666" w:rsidRDefault="00B41BF4" w:rsidP="003445A7">
            <w:pPr>
              <w:pStyle w:val="Prrafodelista"/>
              <w:numPr>
                <w:ilvl w:val="0"/>
                <w:numId w:val="26"/>
              </w:numPr>
              <w:ind w:left="360"/>
              <w:jc w:val="both"/>
              <w:rPr>
                <w:sz w:val="20"/>
                <w:szCs w:val="20"/>
              </w:rPr>
            </w:pPr>
            <w:r w:rsidRPr="004B6666">
              <w:rPr>
                <w:b/>
                <w:sz w:val="20"/>
                <w:szCs w:val="20"/>
              </w:rPr>
              <w:t>Diálogo 6.</w:t>
            </w:r>
            <w:r w:rsidRPr="004B6666">
              <w:rPr>
                <w:sz w:val="20"/>
                <w:szCs w:val="20"/>
              </w:rPr>
              <w:t xml:space="preserve"> Jaime Orlando Santofimio el tema: “ Los tres paradigmas del Estado”</w:t>
            </w:r>
          </w:p>
          <w:p w14:paraId="3616983C" w14:textId="77777777" w:rsidR="00B41BF4" w:rsidRPr="004B6666" w:rsidRDefault="00B41BF4" w:rsidP="004B6666">
            <w:pPr>
              <w:ind w:left="-360"/>
              <w:jc w:val="both"/>
              <w:rPr>
                <w:sz w:val="20"/>
                <w:szCs w:val="20"/>
              </w:rPr>
            </w:pPr>
          </w:p>
          <w:p w14:paraId="1BDB11F6" w14:textId="77777777" w:rsidR="00B41BF4" w:rsidRDefault="00B41BF4" w:rsidP="003445A7">
            <w:pPr>
              <w:pStyle w:val="Prrafodelista"/>
              <w:numPr>
                <w:ilvl w:val="0"/>
                <w:numId w:val="26"/>
              </w:numPr>
              <w:ind w:left="360"/>
              <w:jc w:val="both"/>
              <w:rPr>
                <w:b/>
                <w:sz w:val="20"/>
                <w:szCs w:val="20"/>
              </w:rPr>
            </w:pPr>
            <w:r w:rsidRPr="004B6666">
              <w:rPr>
                <w:b/>
                <w:sz w:val="20"/>
                <w:szCs w:val="20"/>
              </w:rPr>
              <w:t>Plan de actualización, capacitación y estrategias de difusión de las políticas de la ANDJE: Objetivo:(i</w:t>
            </w:r>
            <w:r w:rsidRPr="004B6666">
              <w:rPr>
                <w:sz w:val="20"/>
                <w:szCs w:val="20"/>
              </w:rPr>
              <w:t xml:space="preserve">) conceptualizar un plan de capacitación que incluya los requerimientos de un buen ejercicio de la defensa y las necesidades de las entidades; y (ii) crear estrategias de difusión de las políticas de prevención y estrategias de defensa desarrolladas por la Agencia. </w:t>
            </w:r>
            <w:r w:rsidRPr="004B6666">
              <w:rPr>
                <w:b/>
                <w:sz w:val="20"/>
                <w:szCs w:val="20"/>
              </w:rPr>
              <w:t xml:space="preserve">Impacto: </w:t>
            </w:r>
            <w:r w:rsidRPr="004B6666">
              <w:rPr>
                <w:sz w:val="20"/>
                <w:szCs w:val="20"/>
              </w:rPr>
              <w:t xml:space="preserve">propiciar una mejora en el ejercicio de la defesa en las entidades del orden nacional. </w:t>
            </w:r>
            <w:r w:rsidRPr="004B6666">
              <w:rPr>
                <w:b/>
                <w:sz w:val="20"/>
                <w:szCs w:val="20"/>
              </w:rPr>
              <w:t>(En desarrollo).</w:t>
            </w:r>
          </w:p>
          <w:p w14:paraId="3E4CCDE1" w14:textId="77777777" w:rsidR="00BF17F9" w:rsidRPr="00BF17F9" w:rsidRDefault="00BF17F9" w:rsidP="00BF17F9">
            <w:pPr>
              <w:pStyle w:val="Prrafodelista"/>
              <w:rPr>
                <w:b/>
                <w:sz w:val="20"/>
                <w:szCs w:val="20"/>
              </w:rPr>
            </w:pPr>
          </w:p>
          <w:p w14:paraId="2382FD78" w14:textId="77777777" w:rsidR="00B41BF4" w:rsidRDefault="00B41BF4" w:rsidP="003445A7">
            <w:pPr>
              <w:pStyle w:val="Prrafodelista"/>
              <w:numPr>
                <w:ilvl w:val="0"/>
                <w:numId w:val="26"/>
              </w:numPr>
              <w:ind w:left="360"/>
              <w:jc w:val="both"/>
              <w:rPr>
                <w:b/>
                <w:bCs/>
                <w:sz w:val="20"/>
                <w:szCs w:val="20"/>
              </w:rPr>
            </w:pPr>
            <w:r w:rsidRPr="004B6666">
              <w:rPr>
                <w:b/>
                <w:bCs/>
                <w:sz w:val="20"/>
                <w:szCs w:val="20"/>
              </w:rPr>
              <w:t>Talleres de oralidad ESAP</w:t>
            </w:r>
            <w:r w:rsidR="00A20928">
              <w:rPr>
                <w:b/>
                <w:bCs/>
                <w:sz w:val="20"/>
                <w:szCs w:val="20"/>
              </w:rPr>
              <w:t xml:space="preserve"> (B</w:t>
            </w:r>
            <w:r w:rsidRPr="004B6666">
              <w:rPr>
                <w:b/>
                <w:bCs/>
                <w:sz w:val="20"/>
                <w:szCs w:val="20"/>
              </w:rPr>
              <w:t>ID</w:t>
            </w:r>
            <w:r w:rsidR="00A20928">
              <w:rPr>
                <w:b/>
                <w:bCs/>
                <w:sz w:val="20"/>
                <w:szCs w:val="20"/>
              </w:rPr>
              <w:t>).</w:t>
            </w:r>
            <w:r w:rsidRPr="004B6666">
              <w:rPr>
                <w:b/>
                <w:bCs/>
                <w:sz w:val="20"/>
                <w:szCs w:val="20"/>
              </w:rPr>
              <w:t xml:space="preserve">Objetivo: </w:t>
            </w:r>
            <w:r w:rsidRPr="004B6666">
              <w:rPr>
                <w:bCs/>
                <w:sz w:val="20"/>
                <w:szCs w:val="20"/>
              </w:rPr>
              <w:t>fortalecer las competencias de los operadores jurídicos de las entidades del orden nacional para un mejor ejercicio de la defensa.</w:t>
            </w:r>
            <w:r w:rsidRPr="004B6666">
              <w:rPr>
                <w:b/>
                <w:bCs/>
                <w:sz w:val="20"/>
                <w:szCs w:val="20"/>
              </w:rPr>
              <w:t xml:space="preserve"> Impacto: c</w:t>
            </w:r>
            <w:r w:rsidRPr="004B6666">
              <w:rPr>
                <w:bCs/>
                <w:sz w:val="20"/>
                <w:szCs w:val="20"/>
              </w:rPr>
              <w:t xml:space="preserve">apacitación teórico-práctica en el tema de oralidad en tres talleres  12 entidades con la participación de  90 abogados defensores del Estado. </w:t>
            </w:r>
            <w:r w:rsidRPr="004B6666">
              <w:rPr>
                <w:b/>
                <w:bCs/>
                <w:sz w:val="20"/>
                <w:szCs w:val="20"/>
              </w:rPr>
              <w:t>(En desarrollo).</w:t>
            </w:r>
          </w:p>
          <w:p w14:paraId="73429811" w14:textId="77777777" w:rsidR="00192E6B" w:rsidRPr="004B6666" w:rsidRDefault="00192E6B" w:rsidP="00E46994">
            <w:pPr>
              <w:pStyle w:val="Prrafodelista"/>
              <w:ind w:left="360"/>
              <w:jc w:val="both"/>
              <w:rPr>
                <w:b/>
                <w:bCs/>
                <w:sz w:val="20"/>
                <w:szCs w:val="20"/>
              </w:rPr>
            </w:pPr>
          </w:p>
          <w:p w14:paraId="5CD0BC36" w14:textId="77777777" w:rsidR="00B41BF4" w:rsidRPr="00BF17F9" w:rsidRDefault="00B41BF4" w:rsidP="003445A7">
            <w:pPr>
              <w:pStyle w:val="Prrafodelista"/>
              <w:numPr>
                <w:ilvl w:val="0"/>
                <w:numId w:val="26"/>
              </w:numPr>
              <w:ind w:left="360"/>
              <w:jc w:val="both"/>
              <w:rPr>
                <w:bCs/>
                <w:sz w:val="20"/>
                <w:szCs w:val="20"/>
              </w:rPr>
            </w:pPr>
            <w:r w:rsidRPr="004B6666">
              <w:rPr>
                <w:b/>
                <w:bCs/>
                <w:sz w:val="20"/>
                <w:szCs w:val="20"/>
              </w:rPr>
              <w:t xml:space="preserve">Diálogos jurídicos. Objetivo: </w:t>
            </w:r>
            <w:r w:rsidRPr="004B6666">
              <w:rPr>
                <w:bCs/>
                <w:sz w:val="20"/>
                <w:szCs w:val="20"/>
              </w:rPr>
              <w:t xml:space="preserve">acercar los operadores jurídicos a los actores de la rama judicial. </w:t>
            </w:r>
            <w:r w:rsidRPr="004B6666">
              <w:rPr>
                <w:b/>
                <w:bCs/>
                <w:sz w:val="20"/>
                <w:szCs w:val="20"/>
              </w:rPr>
              <w:t xml:space="preserve">Impacto: </w:t>
            </w:r>
            <w:r w:rsidRPr="004B6666">
              <w:rPr>
                <w:bCs/>
                <w:sz w:val="20"/>
                <w:szCs w:val="20"/>
              </w:rPr>
              <w:t xml:space="preserve">capacitar 90 entidades con la participación de 200 personas en el 2013 en temas de interés para la defensa y 120 entidades y 280 personas para  el 2014. </w:t>
            </w:r>
            <w:r w:rsidRPr="004B6666">
              <w:rPr>
                <w:b/>
                <w:bCs/>
                <w:sz w:val="20"/>
                <w:szCs w:val="20"/>
              </w:rPr>
              <w:t>(En desarrollo).</w:t>
            </w:r>
          </w:p>
          <w:p w14:paraId="4ED13D28" w14:textId="77777777" w:rsidR="00BF17F9" w:rsidRPr="00BF17F9" w:rsidRDefault="00BF17F9" w:rsidP="00BF17F9">
            <w:pPr>
              <w:pStyle w:val="Prrafodelista"/>
              <w:rPr>
                <w:bCs/>
                <w:sz w:val="20"/>
                <w:szCs w:val="20"/>
              </w:rPr>
            </w:pPr>
          </w:p>
          <w:p w14:paraId="4C2403B1" w14:textId="77777777" w:rsidR="00B41BF4" w:rsidRPr="007D405F" w:rsidRDefault="00B41BF4" w:rsidP="003445A7">
            <w:pPr>
              <w:pStyle w:val="Prrafodelista"/>
              <w:numPr>
                <w:ilvl w:val="0"/>
                <w:numId w:val="26"/>
              </w:numPr>
              <w:ind w:left="360"/>
              <w:jc w:val="both"/>
              <w:rPr>
                <w:b/>
                <w:bCs/>
                <w:sz w:val="20"/>
              </w:rPr>
            </w:pPr>
            <w:r w:rsidRPr="004B6666">
              <w:rPr>
                <w:b/>
                <w:bCs/>
                <w:sz w:val="20"/>
                <w:szCs w:val="20"/>
              </w:rPr>
              <w:t xml:space="preserve">Proyecto -  Modelo de gestión de la defensa: Objetivo: </w:t>
            </w:r>
            <w:r w:rsidRPr="004B6666">
              <w:rPr>
                <w:bCs/>
                <w:sz w:val="20"/>
                <w:szCs w:val="20"/>
              </w:rPr>
              <w:t xml:space="preserve">diseñar un modelo de gestión de la defensa aplicable a las entidades del orden nacional que sirva como referente para la medición del estado actual de la gestión en defensa y que  determine las buenas prácticas, deficiencias, puntos críticos y riesgos de la gestión. </w:t>
            </w:r>
            <w:r w:rsidRPr="004B6666">
              <w:rPr>
                <w:b/>
                <w:bCs/>
                <w:sz w:val="20"/>
                <w:szCs w:val="20"/>
              </w:rPr>
              <w:t>Impacto</w:t>
            </w:r>
            <w:r w:rsidRPr="004B6666">
              <w:rPr>
                <w:bCs/>
                <w:sz w:val="20"/>
                <w:szCs w:val="20"/>
              </w:rPr>
              <w:t xml:space="preserve">: mejorar la gestión de la defensa en las entidades. </w:t>
            </w:r>
            <w:r w:rsidRPr="004B6666">
              <w:rPr>
                <w:b/>
                <w:bCs/>
                <w:sz w:val="20"/>
                <w:szCs w:val="20"/>
              </w:rPr>
              <w:t>(En desarrollo).</w:t>
            </w:r>
          </w:p>
        </w:tc>
      </w:tr>
    </w:tbl>
    <w:p w14:paraId="6E849612" w14:textId="77777777" w:rsidR="00157E06" w:rsidRDefault="00157E06" w:rsidP="00E46994">
      <w:pPr>
        <w:rPr>
          <w:rFonts w:cs="Arial"/>
          <w:lang w:val="es-CO"/>
        </w:rPr>
      </w:pPr>
    </w:p>
    <w:p w14:paraId="6F7E30BD" w14:textId="77777777" w:rsidR="00157E06" w:rsidRDefault="00157E06">
      <w:pPr>
        <w:rPr>
          <w:rFonts w:cs="Arial"/>
          <w:lang w:val="es-CO"/>
        </w:rPr>
      </w:pPr>
      <w:r>
        <w:rPr>
          <w:rFonts w:cs="Arial"/>
          <w:lang w:val="es-CO"/>
        </w:rPr>
        <w:br w:type="page"/>
      </w:r>
    </w:p>
    <w:p w14:paraId="5720BAC5" w14:textId="77777777" w:rsidR="00157E06" w:rsidRDefault="00157E06" w:rsidP="00157E06">
      <w:pPr>
        <w:rPr>
          <w:rFonts w:cs="Arial"/>
          <w:b/>
        </w:rPr>
      </w:pPr>
      <w:r>
        <w:rPr>
          <w:rFonts w:cs="Arial"/>
          <w:b/>
        </w:rPr>
        <w:lastRenderedPageBreak/>
        <w:t>LISTAS ESPECIALES</w:t>
      </w:r>
    </w:p>
    <w:tbl>
      <w:tblPr>
        <w:tblStyle w:val="Tabladecuadrcula7concolores"/>
        <w:tblW w:w="0" w:type="auto"/>
        <w:tblLook w:val="04A0" w:firstRow="1" w:lastRow="0" w:firstColumn="1" w:lastColumn="0" w:noHBand="0" w:noVBand="1"/>
      </w:tblPr>
      <w:tblGrid>
        <w:gridCol w:w="8828"/>
      </w:tblGrid>
      <w:tr w:rsidR="005D11C3" w:rsidRPr="005D11C3" w14:paraId="77A1B902" w14:textId="77777777" w:rsidTr="005D11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tcPr>
          <w:p w14:paraId="1C54ADF1" w14:textId="77777777" w:rsidR="005D11C3" w:rsidRPr="00560469" w:rsidRDefault="005D11C3" w:rsidP="00024165">
            <w:pPr>
              <w:rPr>
                <w:rFonts w:cs="Arial"/>
              </w:rPr>
            </w:pPr>
            <w:r w:rsidRPr="00560469">
              <w:rPr>
                <w:rFonts w:cs="Arial"/>
              </w:rPr>
              <w:t>TABLAS</w:t>
            </w:r>
          </w:p>
        </w:tc>
      </w:tr>
      <w:tr w:rsidR="005D11C3" w:rsidRPr="005D11C3" w14:paraId="4385F1A7" w14:textId="77777777" w:rsidTr="005D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243865A" w14:textId="77777777" w:rsidR="005D11C3" w:rsidRPr="005D11C3" w:rsidRDefault="005D11C3" w:rsidP="00024165">
            <w:pPr>
              <w:rPr>
                <w:rFonts w:cs="Arial"/>
              </w:rPr>
            </w:pPr>
            <w:r w:rsidRPr="005D11C3">
              <w:rPr>
                <w:rFonts w:cs="Arial"/>
              </w:rPr>
              <w:t>Tabla 1; Entidades públicas de orden nacional con mayor concentración de Pasivo Contingente -Pg. 10</w:t>
            </w:r>
          </w:p>
        </w:tc>
      </w:tr>
      <w:tr w:rsidR="005D11C3" w:rsidRPr="005D11C3" w14:paraId="4D4E04FE" w14:textId="77777777" w:rsidTr="005D11C3">
        <w:tc>
          <w:tcPr>
            <w:cnfStyle w:val="001000000000" w:firstRow="0" w:lastRow="0" w:firstColumn="1" w:lastColumn="0" w:oddVBand="0" w:evenVBand="0" w:oddHBand="0" w:evenHBand="0" w:firstRowFirstColumn="0" w:firstRowLastColumn="0" w:lastRowFirstColumn="0" w:lastRowLastColumn="0"/>
            <w:tcW w:w="8828" w:type="dxa"/>
          </w:tcPr>
          <w:p w14:paraId="04946E09" w14:textId="77777777" w:rsidR="005D11C3" w:rsidRPr="005D11C3" w:rsidRDefault="005D11C3" w:rsidP="00024165">
            <w:pPr>
              <w:rPr>
                <w:rFonts w:cs="Arial"/>
              </w:rPr>
            </w:pPr>
            <w:r w:rsidRPr="005D11C3">
              <w:rPr>
                <w:rFonts w:cs="Arial"/>
              </w:rPr>
              <w:t>Tabla 2. Número de procesos activos en contra de la Nación – Pg. 12</w:t>
            </w:r>
          </w:p>
        </w:tc>
      </w:tr>
      <w:tr w:rsidR="005D11C3" w:rsidRPr="005D11C3" w14:paraId="53DD208F" w14:textId="77777777" w:rsidTr="005D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522672E" w14:textId="77777777" w:rsidR="005D11C3" w:rsidRPr="005D11C3" w:rsidRDefault="005D11C3" w:rsidP="00024165">
            <w:pPr>
              <w:rPr>
                <w:rFonts w:cs="Arial"/>
              </w:rPr>
            </w:pPr>
            <w:r w:rsidRPr="005D11C3">
              <w:rPr>
                <w:rFonts w:cs="Arial"/>
              </w:rPr>
              <w:t>Tabla 3. Valor de pretensiones de los procesos activos en contra de la Nación –Pg. 13</w:t>
            </w:r>
          </w:p>
        </w:tc>
      </w:tr>
      <w:tr w:rsidR="005D11C3" w:rsidRPr="005D11C3" w14:paraId="0658A2B5" w14:textId="77777777" w:rsidTr="005D11C3">
        <w:tc>
          <w:tcPr>
            <w:cnfStyle w:val="001000000000" w:firstRow="0" w:lastRow="0" w:firstColumn="1" w:lastColumn="0" w:oddVBand="0" w:evenVBand="0" w:oddHBand="0" w:evenHBand="0" w:firstRowFirstColumn="0" w:firstRowLastColumn="0" w:lastRowFirstColumn="0" w:lastRowLastColumn="0"/>
            <w:tcW w:w="8828" w:type="dxa"/>
          </w:tcPr>
          <w:p w14:paraId="6536E769" w14:textId="77777777" w:rsidR="005D11C3" w:rsidRPr="005D11C3" w:rsidRDefault="005D11C3" w:rsidP="00024165">
            <w:pPr>
              <w:rPr>
                <w:rFonts w:cs="Arial"/>
              </w:rPr>
            </w:pPr>
            <w:r w:rsidRPr="005D11C3">
              <w:rPr>
                <w:rFonts w:cs="Arial"/>
              </w:rPr>
              <w:t xml:space="preserve">Tabla 4. Diez entidades con más procesos activos en contra de la Nación -Pg. 13 </w:t>
            </w:r>
          </w:p>
        </w:tc>
      </w:tr>
      <w:tr w:rsidR="005D11C3" w:rsidRPr="005D11C3" w14:paraId="28560189" w14:textId="77777777" w:rsidTr="005D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1669B06" w14:textId="77777777" w:rsidR="005D11C3" w:rsidRPr="005D11C3" w:rsidRDefault="005D11C3" w:rsidP="00024165">
            <w:pPr>
              <w:rPr>
                <w:rFonts w:cs="Arial"/>
              </w:rPr>
            </w:pPr>
            <w:r w:rsidRPr="005D11C3">
              <w:rPr>
                <w:rFonts w:cs="Arial"/>
              </w:rPr>
              <w:t>Tabla 5: Diez Entidades con mayores pretensiones en contra – Pg. 14</w:t>
            </w:r>
          </w:p>
        </w:tc>
      </w:tr>
      <w:tr w:rsidR="005D11C3" w:rsidRPr="005D11C3" w14:paraId="4EB5947B" w14:textId="77777777" w:rsidTr="005D11C3">
        <w:tc>
          <w:tcPr>
            <w:cnfStyle w:val="001000000000" w:firstRow="0" w:lastRow="0" w:firstColumn="1" w:lastColumn="0" w:oddVBand="0" w:evenVBand="0" w:oddHBand="0" w:evenHBand="0" w:firstRowFirstColumn="0" w:firstRowLastColumn="0" w:lastRowFirstColumn="0" w:lastRowLastColumn="0"/>
            <w:tcW w:w="8828" w:type="dxa"/>
          </w:tcPr>
          <w:p w14:paraId="06859BC5" w14:textId="77777777" w:rsidR="005D11C3" w:rsidRPr="005D11C3" w:rsidRDefault="005D11C3" w:rsidP="00024165">
            <w:pPr>
              <w:rPr>
                <w:rFonts w:cs="Arial"/>
              </w:rPr>
            </w:pPr>
            <w:r w:rsidRPr="005D11C3">
              <w:rPr>
                <w:rFonts w:cs="Arial"/>
              </w:rPr>
              <w:t>Tabla 6: Los 25 Procesos más costosos en contra del Estado analizados –Pg.17</w:t>
            </w:r>
          </w:p>
        </w:tc>
      </w:tr>
      <w:tr w:rsidR="005D11C3" w:rsidRPr="005D11C3" w14:paraId="60AA265C" w14:textId="77777777" w:rsidTr="005D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70E0A34" w14:textId="77777777" w:rsidR="005D11C3" w:rsidRPr="005D11C3" w:rsidRDefault="005D11C3" w:rsidP="00024165">
            <w:pPr>
              <w:rPr>
                <w:rFonts w:cs="Arial"/>
              </w:rPr>
            </w:pPr>
            <w:r w:rsidRPr="005D11C3">
              <w:rPr>
                <w:rFonts w:cs="Arial"/>
              </w:rPr>
              <w:t>Tabla 7: Gestiones realizadas en los 25 Procesos más cuantiosos en contra del Estado. Pg. 20</w:t>
            </w:r>
          </w:p>
        </w:tc>
      </w:tr>
      <w:tr w:rsidR="005D11C3" w:rsidRPr="005D11C3" w14:paraId="477073EE" w14:textId="77777777" w:rsidTr="005D11C3">
        <w:tc>
          <w:tcPr>
            <w:cnfStyle w:val="001000000000" w:firstRow="0" w:lastRow="0" w:firstColumn="1" w:lastColumn="0" w:oddVBand="0" w:evenVBand="0" w:oddHBand="0" w:evenHBand="0" w:firstRowFirstColumn="0" w:firstRowLastColumn="0" w:lastRowFirstColumn="0" w:lastRowLastColumn="0"/>
            <w:tcW w:w="8828" w:type="dxa"/>
          </w:tcPr>
          <w:p w14:paraId="7A8E7D79" w14:textId="77777777" w:rsidR="005D11C3" w:rsidRPr="005D11C3" w:rsidRDefault="005D11C3" w:rsidP="00024165">
            <w:pPr>
              <w:rPr>
                <w:rFonts w:cs="Arial"/>
              </w:rPr>
            </w:pPr>
            <w:r w:rsidRPr="005D11C3">
              <w:rPr>
                <w:rFonts w:cs="Arial"/>
              </w:rPr>
              <w:t>Tabla 8: Calificación del Riesgo de los 25 Procesos más costosos del Estado –Pg. 23</w:t>
            </w:r>
          </w:p>
        </w:tc>
      </w:tr>
      <w:tr w:rsidR="005D11C3" w:rsidRPr="005D11C3" w14:paraId="1B44BAD5" w14:textId="77777777" w:rsidTr="005D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01C5DBC" w14:textId="77777777" w:rsidR="005D11C3" w:rsidRPr="005D11C3" w:rsidRDefault="005D11C3" w:rsidP="00024165">
            <w:pPr>
              <w:rPr>
                <w:rFonts w:cs="Arial"/>
              </w:rPr>
            </w:pPr>
            <w:r w:rsidRPr="005D11C3">
              <w:rPr>
                <w:rFonts w:cs="Arial"/>
              </w:rPr>
              <w:t>Tabla 9: Protocolos de Defensa –Pg. 24</w:t>
            </w:r>
          </w:p>
        </w:tc>
      </w:tr>
      <w:tr w:rsidR="005D11C3" w:rsidRPr="005D11C3" w14:paraId="095AEDFD" w14:textId="77777777" w:rsidTr="005D11C3">
        <w:tc>
          <w:tcPr>
            <w:cnfStyle w:val="001000000000" w:firstRow="0" w:lastRow="0" w:firstColumn="1" w:lastColumn="0" w:oddVBand="0" w:evenVBand="0" w:oddHBand="0" w:evenHBand="0" w:firstRowFirstColumn="0" w:firstRowLastColumn="0" w:lastRowFirstColumn="0" w:lastRowLastColumn="0"/>
            <w:tcW w:w="8828" w:type="dxa"/>
          </w:tcPr>
          <w:p w14:paraId="36C0466F" w14:textId="77777777" w:rsidR="005D11C3" w:rsidRPr="005D11C3" w:rsidRDefault="005D11C3" w:rsidP="00024165">
            <w:pPr>
              <w:rPr>
                <w:rFonts w:cs="Arial"/>
              </w:rPr>
            </w:pPr>
            <w:r w:rsidRPr="005D11C3">
              <w:rPr>
                <w:rFonts w:cs="Arial"/>
              </w:rPr>
              <w:t>Tabla 10: Distribución de Procesos por Sector y Cuantía – Pg. 25</w:t>
            </w:r>
          </w:p>
        </w:tc>
      </w:tr>
      <w:tr w:rsidR="005D11C3" w:rsidRPr="005D11C3" w14:paraId="4C748246" w14:textId="77777777" w:rsidTr="005D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068B857" w14:textId="77777777" w:rsidR="005D11C3" w:rsidRPr="005D11C3" w:rsidRDefault="005D11C3" w:rsidP="00024165">
            <w:pPr>
              <w:rPr>
                <w:rFonts w:cs="Arial"/>
              </w:rPr>
            </w:pPr>
            <w:r w:rsidRPr="005D11C3">
              <w:rPr>
                <w:rFonts w:cs="Arial"/>
              </w:rPr>
              <w:t>Tabla 11: Casos ante el Sistema Interamericano de Derechos Humanos Pg. 32</w:t>
            </w:r>
          </w:p>
        </w:tc>
      </w:tr>
      <w:tr w:rsidR="005D11C3" w:rsidRPr="005D11C3" w14:paraId="740F5730" w14:textId="77777777" w:rsidTr="005D11C3">
        <w:tc>
          <w:tcPr>
            <w:cnfStyle w:val="001000000000" w:firstRow="0" w:lastRow="0" w:firstColumn="1" w:lastColumn="0" w:oddVBand="0" w:evenVBand="0" w:oddHBand="0" w:evenHBand="0" w:firstRowFirstColumn="0" w:firstRowLastColumn="0" w:lastRowFirstColumn="0" w:lastRowLastColumn="0"/>
            <w:tcW w:w="8828" w:type="dxa"/>
          </w:tcPr>
          <w:p w14:paraId="2CB698C4" w14:textId="77777777" w:rsidR="005D11C3" w:rsidRPr="005D11C3" w:rsidRDefault="005D11C3" w:rsidP="00024165">
            <w:pPr>
              <w:rPr>
                <w:rFonts w:cs="Arial"/>
              </w:rPr>
            </w:pPr>
            <w:r w:rsidRPr="005D11C3">
              <w:rPr>
                <w:rFonts w:cs="Arial"/>
              </w:rPr>
              <w:t>Tabla 12: Logros y Avances de la Dirección de Defensa Jurídica –Pg. 38</w:t>
            </w:r>
          </w:p>
        </w:tc>
      </w:tr>
      <w:tr w:rsidR="005D11C3" w:rsidRPr="005D11C3" w14:paraId="4DB9B94E" w14:textId="77777777" w:rsidTr="005D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B90D14A" w14:textId="77777777" w:rsidR="005D11C3" w:rsidRPr="005D11C3" w:rsidRDefault="005D11C3" w:rsidP="00024165">
            <w:pPr>
              <w:rPr>
                <w:rFonts w:cs="Arial"/>
              </w:rPr>
            </w:pPr>
            <w:r w:rsidRPr="005D11C3">
              <w:rPr>
                <w:rFonts w:cs="Arial"/>
              </w:rPr>
              <w:t>Tabla 13: Logros y Avances de la Dirección de Políticas y Estrategias – Pg. 40</w:t>
            </w:r>
          </w:p>
        </w:tc>
      </w:tr>
      <w:tr w:rsidR="005D11C3" w:rsidRPr="005D11C3" w14:paraId="45CF3144" w14:textId="77777777" w:rsidTr="005D11C3">
        <w:tc>
          <w:tcPr>
            <w:cnfStyle w:val="001000000000" w:firstRow="0" w:lastRow="0" w:firstColumn="1" w:lastColumn="0" w:oddVBand="0" w:evenVBand="0" w:oddHBand="0" w:evenHBand="0" w:firstRowFirstColumn="0" w:firstRowLastColumn="0" w:lastRowFirstColumn="0" w:lastRowLastColumn="0"/>
            <w:tcW w:w="8828" w:type="dxa"/>
          </w:tcPr>
          <w:p w14:paraId="6906D2BB" w14:textId="77777777" w:rsidR="005D11C3" w:rsidRPr="005D11C3" w:rsidRDefault="005D11C3" w:rsidP="00024165">
            <w:pPr>
              <w:rPr>
                <w:rFonts w:cs="Arial"/>
              </w:rPr>
            </w:pPr>
            <w:r w:rsidRPr="005D11C3">
              <w:rPr>
                <w:rFonts w:cs="Arial"/>
              </w:rPr>
              <w:t>Tabla 14: Logros y Avances de la Dirección de Gestión de Información – Pg. 40</w:t>
            </w:r>
          </w:p>
        </w:tc>
      </w:tr>
      <w:tr w:rsidR="005D11C3" w:rsidRPr="005D11C3" w14:paraId="338EE467" w14:textId="77777777" w:rsidTr="005D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8A1D5AB" w14:textId="77777777" w:rsidR="005D11C3" w:rsidRPr="005D11C3" w:rsidRDefault="005D11C3" w:rsidP="00024165">
            <w:pPr>
              <w:rPr>
                <w:rFonts w:cs="Arial"/>
              </w:rPr>
            </w:pPr>
            <w:r w:rsidRPr="005D11C3">
              <w:rPr>
                <w:rFonts w:cs="Arial"/>
              </w:rPr>
              <w:t>Tabla 15: Sistema único de información Litigiosa – Pg. 44</w:t>
            </w:r>
          </w:p>
        </w:tc>
      </w:tr>
      <w:tr w:rsidR="005D11C3" w:rsidRPr="005D11C3" w14:paraId="3AD8343F" w14:textId="77777777" w:rsidTr="005D11C3">
        <w:tc>
          <w:tcPr>
            <w:cnfStyle w:val="001000000000" w:firstRow="0" w:lastRow="0" w:firstColumn="1" w:lastColumn="0" w:oddVBand="0" w:evenVBand="0" w:oddHBand="0" w:evenHBand="0" w:firstRowFirstColumn="0" w:firstRowLastColumn="0" w:lastRowFirstColumn="0" w:lastRowLastColumn="0"/>
            <w:tcW w:w="8828" w:type="dxa"/>
          </w:tcPr>
          <w:p w14:paraId="0BDD10BF" w14:textId="77777777" w:rsidR="005D11C3" w:rsidRPr="005D11C3" w:rsidRDefault="005D11C3" w:rsidP="00024165">
            <w:pPr>
              <w:rPr>
                <w:rFonts w:cs="Arial"/>
              </w:rPr>
            </w:pPr>
            <w:r w:rsidRPr="005D11C3">
              <w:rPr>
                <w:rFonts w:cs="Arial"/>
              </w:rPr>
              <w:t>Tabla 16: Acciones Prejudiciales dentro del ciclo de Defensa – Pg. 49</w:t>
            </w:r>
          </w:p>
        </w:tc>
      </w:tr>
      <w:tr w:rsidR="005D11C3" w:rsidRPr="005D11C3" w14:paraId="5EF80C07" w14:textId="77777777" w:rsidTr="005D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3592BF5" w14:textId="77777777" w:rsidR="005D11C3" w:rsidRPr="005D11C3" w:rsidRDefault="005D11C3" w:rsidP="00024165">
            <w:pPr>
              <w:rPr>
                <w:rFonts w:cs="Arial"/>
              </w:rPr>
            </w:pPr>
            <w:r w:rsidRPr="005D11C3">
              <w:rPr>
                <w:rFonts w:cs="Arial"/>
              </w:rPr>
              <w:t>Tabla 17: El proceso judicial dentro del ciclo de defensa – Pg. 51</w:t>
            </w:r>
          </w:p>
        </w:tc>
      </w:tr>
      <w:tr w:rsidR="005D11C3" w:rsidRPr="005D11C3" w14:paraId="24B2DDBC" w14:textId="77777777" w:rsidTr="005D11C3">
        <w:tc>
          <w:tcPr>
            <w:cnfStyle w:val="001000000000" w:firstRow="0" w:lastRow="0" w:firstColumn="1" w:lastColumn="0" w:oddVBand="0" w:evenVBand="0" w:oddHBand="0" w:evenHBand="0" w:firstRowFirstColumn="0" w:firstRowLastColumn="0" w:lastRowFirstColumn="0" w:lastRowLastColumn="0"/>
            <w:tcW w:w="8828" w:type="dxa"/>
          </w:tcPr>
          <w:p w14:paraId="6CF240F5" w14:textId="77777777" w:rsidR="005D11C3" w:rsidRPr="005D11C3" w:rsidRDefault="005D11C3" w:rsidP="00024165">
            <w:pPr>
              <w:rPr>
                <w:rFonts w:cs="Arial"/>
              </w:rPr>
            </w:pPr>
            <w:r w:rsidRPr="005D11C3">
              <w:rPr>
                <w:rFonts w:cs="Arial"/>
              </w:rPr>
              <w:t>Tabla 18: Cumplimiento del pago de sentencias y conciliaciones dentro del ciclo de defensa Pg. 54</w:t>
            </w:r>
          </w:p>
        </w:tc>
      </w:tr>
      <w:tr w:rsidR="005D11C3" w:rsidRPr="005D11C3" w14:paraId="4AE40388" w14:textId="77777777" w:rsidTr="005D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CF129F8" w14:textId="77777777" w:rsidR="005D11C3" w:rsidRPr="005D11C3" w:rsidRDefault="005D11C3" w:rsidP="00024165">
            <w:pPr>
              <w:rPr>
                <w:rFonts w:cs="Arial"/>
              </w:rPr>
            </w:pPr>
            <w:r w:rsidRPr="005D11C3">
              <w:rPr>
                <w:rFonts w:cs="Arial"/>
              </w:rPr>
              <w:t>Tabla 19: Acciones de reposición y recuperación de recursos públicos dentro del ciclo de defensa Pg. 55</w:t>
            </w:r>
          </w:p>
        </w:tc>
      </w:tr>
      <w:tr w:rsidR="005D11C3" w:rsidRPr="005D11C3" w14:paraId="46BA7A74" w14:textId="77777777" w:rsidTr="005D11C3">
        <w:tc>
          <w:tcPr>
            <w:cnfStyle w:val="001000000000" w:firstRow="0" w:lastRow="0" w:firstColumn="1" w:lastColumn="0" w:oddVBand="0" w:evenVBand="0" w:oddHBand="0" w:evenHBand="0" w:firstRowFirstColumn="0" w:firstRowLastColumn="0" w:lastRowFirstColumn="0" w:lastRowLastColumn="0"/>
            <w:tcW w:w="8828" w:type="dxa"/>
          </w:tcPr>
          <w:p w14:paraId="28685CBD" w14:textId="77777777" w:rsidR="005D11C3" w:rsidRPr="005D11C3" w:rsidRDefault="005D11C3" w:rsidP="00024165">
            <w:pPr>
              <w:rPr>
                <w:rFonts w:cs="Arial"/>
              </w:rPr>
            </w:pPr>
            <w:r w:rsidRPr="005D11C3">
              <w:rPr>
                <w:rFonts w:cs="Arial"/>
              </w:rPr>
              <w:t>Tabla 20: Acciones de prevención de daño antijurídico Pg. 55</w:t>
            </w:r>
          </w:p>
        </w:tc>
      </w:tr>
      <w:tr w:rsidR="005D11C3" w:rsidRPr="00157E06" w14:paraId="2C20EB38" w14:textId="77777777" w:rsidTr="005D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AF88C07" w14:textId="77777777" w:rsidR="005D11C3" w:rsidRPr="00157E06" w:rsidRDefault="005D11C3" w:rsidP="00024165">
            <w:pPr>
              <w:rPr>
                <w:rFonts w:cs="Arial"/>
              </w:rPr>
            </w:pPr>
            <w:r w:rsidRPr="005D11C3">
              <w:rPr>
                <w:rFonts w:cs="Arial"/>
              </w:rPr>
              <w:t>Tabla 21: Acciones trasversales al ciclo de defensa Pg. 59</w:t>
            </w:r>
          </w:p>
        </w:tc>
      </w:tr>
    </w:tbl>
    <w:p w14:paraId="64CD65E9" w14:textId="32706162" w:rsidR="00157E06" w:rsidRPr="00157E06" w:rsidRDefault="00157E06" w:rsidP="00157E06">
      <w:pPr>
        <w:rPr>
          <w:rFonts w:cs="Arial"/>
        </w:rPr>
      </w:pPr>
      <w:r w:rsidRPr="00157E06">
        <w:rPr>
          <w:rFonts w:cs="Arial"/>
        </w:rPr>
        <w:t xml:space="preserve">  </w:t>
      </w:r>
    </w:p>
    <w:p w14:paraId="36CB9926" w14:textId="77777777" w:rsidR="000C32E6" w:rsidRDefault="000C32E6" w:rsidP="00E46994">
      <w:pPr>
        <w:rPr>
          <w:rFonts w:cs="Arial"/>
        </w:rPr>
      </w:pPr>
    </w:p>
    <w:p w14:paraId="47C93A2A" w14:textId="77777777" w:rsidR="00204202" w:rsidRDefault="00204202" w:rsidP="00E46994">
      <w:pPr>
        <w:rPr>
          <w:rFonts w:cs="Arial"/>
        </w:rPr>
      </w:pPr>
    </w:p>
    <w:p w14:paraId="0DC931B5" w14:textId="77777777" w:rsidR="00204202" w:rsidRDefault="00204202" w:rsidP="00E46994">
      <w:pPr>
        <w:rPr>
          <w:rFonts w:cs="Arial"/>
        </w:rPr>
      </w:pPr>
    </w:p>
    <w:p w14:paraId="7A849510" w14:textId="77777777" w:rsidR="00204202" w:rsidRDefault="00204202" w:rsidP="00E46994">
      <w:pPr>
        <w:rPr>
          <w:rFonts w:cs="Arial"/>
        </w:rPr>
      </w:pPr>
    </w:p>
    <w:p w14:paraId="4B577C60" w14:textId="77777777" w:rsidR="00204202" w:rsidRDefault="00204202" w:rsidP="00E46994">
      <w:pPr>
        <w:rPr>
          <w:rFonts w:cs="Arial"/>
        </w:rPr>
      </w:pPr>
    </w:p>
    <w:p w14:paraId="764B4890" w14:textId="77777777" w:rsidR="00204202" w:rsidRDefault="00204202" w:rsidP="00E46994">
      <w:pPr>
        <w:rPr>
          <w:rFonts w:cs="Arial"/>
        </w:rPr>
      </w:pPr>
    </w:p>
    <w:p w14:paraId="412BA669" w14:textId="77777777" w:rsidR="00204202" w:rsidRDefault="00204202" w:rsidP="00E46994">
      <w:pPr>
        <w:rPr>
          <w:rFonts w:cs="Arial"/>
        </w:rPr>
      </w:pPr>
    </w:p>
    <w:tbl>
      <w:tblPr>
        <w:tblStyle w:val="Tabladecuadrcula7concolores"/>
        <w:tblW w:w="0" w:type="auto"/>
        <w:tblLook w:val="04A0" w:firstRow="1" w:lastRow="0" w:firstColumn="1" w:lastColumn="0" w:noHBand="0" w:noVBand="1"/>
      </w:tblPr>
      <w:tblGrid>
        <w:gridCol w:w="8828"/>
      </w:tblGrid>
      <w:tr w:rsidR="00560469" w:rsidRPr="00560469" w14:paraId="35037AFA" w14:textId="77777777" w:rsidTr="005604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tcPr>
          <w:p w14:paraId="1FF5D545" w14:textId="77777777" w:rsidR="00560469" w:rsidRPr="00560469" w:rsidRDefault="00560469" w:rsidP="00024165">
            <w:pPr>
              <w:rPr>
                <w:rFonts w:cs="Arial"/>
              </w:rPr>
            </w:pPr>
            <w:r w:rsidRPr="00560469">
              <w:rPr>
                <w:rFonts w:cs="Arial"/>
              </w:rPr>
              <w:lastRenderedPageBreak/>
              <w:t>GRAFICOS</w:t>
            </w:r>
          </w:p>
        </w:tc>
      </w:tr>
      <w:tr w:rsidR="00560469" w:rsidRPr="00560469" w14:paraId="2C47D17D" w14:textId="77777777" w:rsidTr="00560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191AA86" w14:textId="77777777" w:rsidR="00560469" w:rsidRPr="00560469" w:rsidRDefault="00560469" w:rsidP="00024165">
            <w:pPr>
              <w:rPr>
                <w:rFonts w:cs="Arial"/>
              </w:rPr>
            </w:pPr>
            <w:r w:rsidRPr="00560469">
              <w:rPr>
                <w:rFonts w:cs="Arial"/>
              </w:rPr>
              <w:t>Grafico 1: Histórico de apropiaciones y pagos de Sentencias y conciliaciones (precios constantes 2013) –Pg. 4</w:t>
            </w:r>
          </w:p>
        </w:tc>
      </w:tr>
      <w:tr w:rsidR="00560469" w:rsidRPr="00560469" w14:paraId="5CB15631" w14:textId="77777777" w:rsidTr="00560469">
        <w:tc>
          <w:tcPr>
            <w:cnfStyle w:val="001000000000" w:firstRow="0" w:lastRow="0" w:firstColumn="1" w:lastColumn="0" w:oddVBand="0" w:evenVBand="0" w:oddHBand="0" w:evenHBand="0" w:firstRowFirstColumn="0" w:firstRowLastColumn="0" w:lastRowFirstColumn="0" w:lastRowLastColumn="0"/>
            <w:tcW w:w="8828" w:type="dxa"/>
          </w:tcPr>
          <w:p w14:paraId="5A3C7715" w14:textId="77777777" w:rsidR="00560469" w:rsidRPr="00560469" w:rsidRDefault="00560469" w:rsidP="00024165">
            <w:pPr>
              <w:rPr>
                <w:rFonts w:cs="Arial"/>
              </w:rPr>
            </w:pPr>
            <w:r w:rsidRPr="00560469">
              <w:rPr>
                <w:rFonts w:cs="Arial"/>
              </w:rPr>
              <w:t>Gráfico 2: Histórico de participaciones de pagos  sentencias y conciliaciones de los sectores que alcanzaron los mayores niveles – Pg. 5</w:t>
            </w:r>
          </w:p>
        </w:tc>
      </w:tr>
      <w:tr w:rsidR="00560469" w:rsidRPr="00560469" w14:paraId="4E7318A3" w14:textId="77777777" w:rsidTr="00560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A446F6B" w14:textId="77777777" w:rsidR="00560469" w:rsidRPr="00560469" w:rsidRDefault="00560469" w:rsidP="00024165">
            <w:pPr>
              <w:rPr>
                <w:rFonts w:cs="Arial"/>
              </w:rPr>
            </w:pPr>
            <w:r w:rsidRPr="00560469">
              <w:rPr>
                <w:rFonts w:cs="Arial"/>
              </w:rPr>
              <w:t xml:space="preserve">Gráfico 3: Comportamiento histórico de la apropiación final para sentencias y conciliaciones ($ constante 2013) – Pg. 6 </w:t>
            </w:r>
          </w:p>
        </w:tc>
      </w:tr>
      <w:tr w:rsidR="00560469" w:rsidRPr="00560469" w14:paraId="7B029931" w14:textId="77777777" w:rsidTr="00560469">
        <w:tc>
          <w:tcPr>
            <w:cnfStyle w:val="001000000000" w:firstRow="0" w:lastRow="0" w:firstColumn="1" w:lastColumn="0" w:oddVBand="0" w:evenVBand="0" w:oddHBand="0" w:evenHBand="0" w:firstRowFirstColumn="0" w:firstRowLastColumn="0" w:lastRowFirstColumn="0" w:lastRowLastColumn="0"/>
            <w:tcW w:w="8828" w:type="dxa"/>
          </w:tcPr>
          <w:p w14:paraId="30850AF8" w14:textId="77777777" w:rsidR="00560469" w:rsidRPr="00560469" w:rsidRDefault="00560469" w:rsidP="00024165">
            <w:pPr>
              <w:rPr>
                <w:rFonts w:cs="Arial"/>
              </w:rPr>
            </w:pPr>
            <w:r w:rsidRPr="00560469">
              <w:rPr>
                <w:rFonts w:cs="Arial"/>
              </w:rPr>
              <w:t xml:space="preserve">Gráfico 4: Comportamiento histórico de las adiciones presupuestales ($ constantes de 2013) –Pg. 7 </w:t>
            </w:r>
          </w:p>
        </w:tc>
      </w:tr>
      <w:tr w:rsidR="00560469" w:rsidRPr="00560469" w14:paraId="1CF8F71E" w14:textId="77777777" w:rsidTr="00560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DBBE97C" w14:textId="77777777" w:rsidR="00560469" w:rsidRPr="00560469" w:rsidRDefault="00560469" w:rsidP="00024165">
            <w:pPr>
              <w:rPr>
                <w:rFonts w:cs="Arial"/>
              </w:rPr>
            </w:pPr>
            <w:r w:rsidRPr="00560469">
              <w:rPr>
                <w:rFonts w:cs="Arial"/>
              </w:rPr>
              <w:t>Gráfico 5: Evolución del pasivo contingente – Pg. 8</w:t>
            </w:r>
          </w:p>
        </w:tc>
      </w:tr>
      <w:tr w:rsidR="00560469" w:rsidRPr="00560469" w14:paraId="54D1EB17" w14:textId="77777777" w:rsidTr="00560469">
        <w:tc>
          <w:tcPr>
            <w:cnfStyle w:val="001000000000" w:firstRow="0" w:lastRow="0" w:firstColumn="1" w:lastColumn="0" w:oddVBand="0" w:evenVBand="0" w:oddHBand="0" w:evenHBand="0" w:firstRowFirstColumn="0" w:firstRowLastColumn="0" w:lastRowFirstColumn="0" w:lastRowLastColumn="0"/>
            <w:tcW w:w="8828" w:type="dxa"/>
          </w:tcPr>
          <w:p w14:paraId="162CEECD" w14:textId="77777777" w:rsidR="00560469" w:rsidRPr="00560469" w:rsidRDefault="00560469" w:rsidP="00024165">
            <w:pPr>
              <w:rPr>
                <w:rFonts w:cs="Arial"/>
              </w:rPr>
            </w:pPr>
            <w:r w:rsidRPr="00560469">
              <w:rPr>
                <w:rFonts w:cs="Arial"/>
              </w:rPr>
              <w:t>Gráfico 6: Tasa de Éxito Procesal por Sector – Pg. 15</w:t>
            </w:r>
          </w:p>
        </w:tc>
      </w:tr>
      <w:tr w:rsidR="00560469" w:rsidRPr="00560469" w14:paraId="434AD254" w14:textId="77777777" w:rsidTr="00560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434A92D" w14:textId="77777777" w:rsidR="00560469" w:rsidRPr="00560469" w:rsidRDefault="00560469" w:rsidP="00024165">
            <w:pPr>
              <w:rPr>
                <w:rFonts w:cs="Arial"/>
              </w:rPr>
            </w:pPr>
            <w:r w:rsidRPr="00560469">
              <w:rPr>
                <w:rFonts w:cs="Arial"/>
              </w:rPr>
              <w:t>Grafico 7: Porcentaje de entidades que reportan información al FUGCC – Pg. 35</w:t>
            </w:r>
          </w:p>
        </w:tc>
      </w:tr>
      <w:tr w:rsidR="00560469" w:rsidRPr="00560469" w14:paraId="7A1D2E19" w14:textId="77777777" w:rsidTr="00560469">
        <w:tc>
          <w:tcPr>
            <w:cnfStyle w:val="001000000000" w:firstRow="0" w:lastRow="0" w:firstColumn="1" w:lastColumn="0" w:oddVBand="0" w:evenVBand="0" w:oddHBand="0" w:evenHBand="0" w:firstRowFirstColumn="0" w:firstRowLastColumn="0" w:lastRowFirstColumn="0" w:lastRowLastColumn="0"/>
            <w:tcW w:w="8828" w:type="dxa"/>
          </w:tcPr>
          <w:p w14:paraId="2873B616" w14:textId="77777777" w:rsidR="00560469" w:rsidRPr="00560469" w:rsidRDefault="00560469" w:rsidP="00024165">
            <w:pPr>
              <w:rPr>
                <w:rFonts w:cs="Arial"/>
              </w:rPr>
            </w:pPr>
            <w:r w:rsidRPr="00560469">
              <w:rPr>
                <w:rFonts w:cs="Arial"/>
              </w:rPr>
              <w:t>Grafico 8: Porcentaje de entidades que reportan información al FUGCC y que indican tener políticas de prevención y defensa –Pg. 35</w:t>
            </w:r>
          </w:p>
        </w:tc>
      </w:tr>
    </w:tbl>
    <w:p w14:paraId="4300FDD2" w14:textId="77777777" w:rsidR="00157E06" w:rsidRPr="00157E06" w:rsidRDefault="00157E06" w:rsidP="00560469">
      <w:pPr>
        <w:rPr>
          <w:rFonts w:cs="Arial"/>
        </w:rPr>
      </w:pPr>
    </w:p>
    <w:sectPr w:rsidR="00157E06" w:rsidRPr="00157E06" w:rsidSect="00F25B38">
      <w:headerReference w:type="default" r:id="rId33"/>
      <w:footerReference w:type="default" r:id="rId34"/>
      <w:pgSz w:w="12240" w:h="15840" w:code="1"/>
      <w:pgMar w:top="1417" w:right="1701" w:bottom="1417"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8E232" w14:textId="77777777" w:rsidR="00D97794" w:rsidRDefault="00D97794" w:rsidP="000342B7">
      <w:pPr>
        <w:spacing w:after="0"/>
      </w:pPr>
      <w:r>
        <w:separator/>
      </w:r>
    </w:p>
  </w:endnote>
  <w:endnote w:type="continuationSeparator" w:id="0">
    <w:p w14:paraId="21770198" w14:textId="77777777" w:rsidR="00D97794" w:rsidRDefault="00D97794" w:rsidP="00034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ambr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467096"/>
      <w:docPartObj>
        <w:docPartGallery w:val="Page Numbers (Bottom of Page)"/>
        <w:docPartUnique/>
      </w:docPartObj>
    </w:sdtPr>
    <w:sdtContent>
      <w:p w14:paraId="3AA8C1B0" w14:textId="77777777" w:rsidR="008349EC" w:rsidRDefault="008349EC">
        <w:pPr>
          <w:pStyle w:val="Piedepgina"/>
          <w:jc w:val="right"/>
        </w:pPr>
        <w:r>
          <w:fldChar w:fldCharType="begin"/>
        </w:r>
        <w:r>
          <w:instrText>PAGE   \* MERGEFORMAT</w:instrText>
        </w:r>
        <w:r>
          <w:fldChar w:fldCharType="separate"/>
        </w:r>
        <w:r w:rsidR="00E52216" w:rsidRPr="00E52216">
          <w:rPr>
            <w:noProof/>
            <w:lang w:val="es-ES"/>
          </w:rPr>
          <w:t>3</w:t>
        </w:r>
        <w:r>
          <w:fldChar w:fldCharType="end"/>
        </w:r>
      </w:p>
    </w:sdtContent>
  </w:sdt>
  <w:p w14:paraId="771B411F" w14:textId="77777777" w:rsidR="008349EC" w:rsidRDefault="008349EC" w:rsidP="00D85EB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907824"/>
      <w:docPartObj>
        <w:docPartGallery w:val="Page Numbers (Bottom of Page)"/>
        <w:docPartUnique/>
      </w:docPartObj>
    </w:sdtPr>
    <w:sdtContent>
      <w:p w14:paraId="6DC8A15D" w14:textId="77777777" w:rsidR="008349EC" w:rsidRDefault="008349EC">
        <w:pPr>
          <w:pStyle w:val="Piedepgina"/>
          <w:jc w:val="right"/>
        </w:pPr>
        <w:r>
          <w:fldChar w:fldCharType="begin"/>
        </w:r>
        <w:r>
          <w:instrText>PAGE   \* MERGEFORMAT</w:instrText>
        </w:r>
        <w:r>
          <w:fldChar w:fldCharType="separate"/>
        </w:r>
        <w:r w:rsidR="00E52216" w:rsidRPr="00E52216">
          <w:rPr>
            <w:noProof/>
            <w:lang w:val="es-ES"/>
          </w:rPr>
          <w:t>15</w:t>
        </w:r>
        <w:r>
          <w:fldChar w:fldCharType="end"/>
        </w:r>
      </w:p>
    </w:sdtContent>
  </w:sdt>
  <w:p w14:paraId="44E36C9D" w14:textId="77777777" w:rsidR="008349EC" w:rsidRDefault="008349E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012367"/>
      <w:docPartObj>
        <w:docPartGallery w:val="Page Numbers (Bottom of Page)"/>
        <w:docPartUnique/>
      </w:docPartObj>
    </w:sdtPr>
    <w:sdtContent>
      <w:p w14:paraId="01B26BE3" w14:textId="77777777" w:rsidR="008349EC" w:rsidRDefault="008349EC">
        <w:pPr>
          <w:pStyle w:val="Piedepgina"/>
          <w:jc w:val="right"/>
        </w:pPr>
        <w:r>
          <w:fldChar w:fldCharType="begin"/>
        </w:r>
        <w:r>
          <w:instrText>PAGE   \* MERGEFORMAT</w:instrText>
        </w:r>
        <w:r>
          <w:fldChar w:fldCharType="separate"/>
        </w:r>
        <w:r w:rsidR="00E52216" w:rsidRPr="00E52216">
          <w:rPr>
            <w:noProof/>
            <w:lang w:val="es-ES"/>
          </w:rPr>
          <w:t>20</w:t>
        </w:r>
        <w:r>
          <w:fldChar w:fldCharType="end"/>
        </w:r>
      </w:p>
    </w:sdtContent>
  </w:sdt>
  <w:p w14:paraId="34E1A10F" w14:textId="77777777" w:rsidR="008349EC" w:rsidRDefault="008349EC">
    <w:pPr>
      <w:pStyle w:val="Piedepgina"/>
    </w:pPr>
  </w:p>
  <w:p w14:paraId="4EEC7BC4" w14:textId="77777777" w:rsidR="008349EC" w:rsidRDefault="008349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A8874" w14:textId="77777777" w:rsidR="00D97794" w:rsidRDefault="00D97794" w:rsidP="000342B7">
      <w:pPr>
        <w:spacing w:after="0"/>
      </w:pPr>
      <w:r>
        <w:separator/>
      </w:r>
    </w:p>
  </w:footnote>
  <w:footnote w:type="continuationSeparator" w:id="0">
    <w:p w14:paraId="52FBBDA7" w14:textId="77777777" w:rsidR="00D97794" w:rsidRDefault="00D97794" w:rsidP="000342B7">
      <w:pPr>
        <w:spacing w:after="0"/>
      </w:pPr>
      <w:r>
        <w:continuationSeparator/>
      </w:r>
    </w:p>
  </w:footnote>
  <w:footnote w:id="1">
    <w:p w14:paraId="55914E3A" w14:textId="77777777" w:rsidR="008349EC" w:rsidRDefault="008349EC" w:rsidP="003B41C3">
      <w:pPr>
        <w:spacing w:after="0"/>
        <w:ind w:right="43"/>
        <w:jc w:val="both"/>
      </w:pPr>
      <w:r w:rsidRPr="00C86C43">
        <w:rPr>
          <w:rStyle w:val="Refdenotaalpie"/>
          <w:sz w:val="22"/>
        </w:rPr>
        <w:footnoteRef/>
      </w:r>
      <w:r>
        <w:t xml:space="preserve"> </w:t>
      </w:r>
      <w:r w:rsidRPr="005C655C">
        <w:rPr>
          <w:rFonts w:cs="Arial"/>
          <w:sz w:val="18"/>
        </w:rPr>
        <w:t>Los resultados presentados en el presente informe, tienen como fuente de información los reportes de la Dirección General de Presupuesto Público Nacional para el periodo comprendido entre los años 2000 – 2005 y del Sistema Integrado de Información Financiera de la Nación para los años 2006 – 2013. En algunas partes se reseña</w:t>
      </w:r>
      <w:r w:rsidRPr="005C655C">
        <w:rPr>
          <w:rFonts w:cs="Arial"/>
          <w:sz w:val="18"/>
          <w:lang w:val="es-CO"/>
        </w:rPr>
        <w:t xml:space="preserve"> información del Marco Fiscal de Mediano Plazo lo que ayudó a </w:t>
      </w:r>
      <w:r w:rsidRPr="005C655C">
        <w:rPr>
          <w:rFonts w:cs="Arial"/>
          <w:sz w:val="18"/>
        </w:rPr>
        <w:t>consolidar una serie de tiempo significativa.</w:t>
      </w:r>
    </w:p>
  </w:footnote>
  <w:footnote w:id="2">
    <w:p w14:paraId="4272EF5F" w14:textId="77777777" w:rsidR="008349EC" w:rsidRPr="00346287" w:rsidRDefault="008349EC" w:rsidP="003B41C3">
      <w:pPr>
        <w:pStyle w:val="Textonotapie"/>
        <w:rPr>
          <w:sz w:val="18"/>
          <w:szCs w:val="18"/>
        </w:rPr>
      </w:pPr>
      <w:r w:rsidRPr="00C86C43">
        <w:rPr>
          <w:rStyle w:val="Refdenotaalpie"/>
          <w:sz w:val="22"/>
        </w:rPr>
        <w:footnoteRef/>
      </w:r>
      <w:r>
        <w:t xml:space="preserve"> </w:t>
      </w:r>
      <w:r w:rsidRPr="00346287">
        <w:rPr>
          <w:sz w:val="18"/>
          <w:szCs w:val="18"/>
        </w:rPr>
        <w:t>Esta información no incluye deuda pública.</w:t>
      </w:r>
    </w:p>
  </w:footnote>
  <w:footnote w:id="3">
    <w:p w14:paraId="4E55E35B" w14:textId="77777777" w:rsidR="008349EC" w:rsidRPr="00132B06" w:rsidRDefault="008349EC" w:rsidP="003B41C3">
      <w:pPr>
        <w:spacing w:after="0"/>
        <w:jc w:val="both"/>
      </w:pPr>
      <w:r w:rsidRPr="00C86C43">
        <w:rPr>
          <w:rStyle w:val="Refdenotaalpie"/>
          <w:sz w:val="22"/>
        </w:rPr>
        <w:footnoteRef/>
      </w:r>
      <w:r w:rsidRPr="00C86C43">
        <w:rPr>
          <w:rStyle w:val="Refdenotaalpie"/>
          <w:sz w:val="22"/>
        </w:rPr>
        <w:t xml:space="preserve"> </w:t>
      </w:r>
      <w:r w:rsidRPr="00132B06">
        <w:rPr>
          <w:rFonts w:cs="Arial"/>
          <w:sz w:val="18"/>
        </w:rPr>
        <w:t xml:space="preserve">Para la serie 2006 – 2013 el presupuesto ejecutado de inversión es </w:t>
      </w:r>
      <w:r w:rsidRPr="00934FC0">
        <w:rPr>
          <w:rFonts w:cs="Arial"/>
          <w:sz w:val="18"/>
        </w:rPr>
        <w:t>$</w:t>
      </w:r>
      <w:r>
        <w:rPr>
          <w:rFonts w:cs="Arial"/>
          <w:sz w:val="18"/>
        </w:rPr>
        <w:t>185.415.387.513.290</w:t>
      </w:r>
      <w:r w:rsidRPr="00934FC0">
        <w:rPr>
          <w:rFonts w:cs="Arial"/>
          <w:sz w:val="18"/>
        </w:rPr>
        <w:t xml:space="preserve"> </w:t>
      </w:r>
      <w:r>
        <w:rPr>
          <w:rFonts w:cs="Arial"/>
          <w:sz w:val="18"/>
        </w:rPr>
        <w:t xml:space="preserve">pesos </w:t>
      </w:r>
      <w:r w:rsidRPr="00346287">
        <w:rPr>
          <w:rFonts w:cs="Arial"/>
          <w:sz w:val="18"/>
        </w:rPr>
        <w:t>(precios constantes</w:t>
      </w:r>
      <w:r>
        <w:rPr>
          <w:rFonts w:cs="Arial"/>
          <w:sz w:val="18"/>
        </w:rPr>
        <w:t xml:space="preserve"> de </w:t>
      </w:r>
      <w:r w:rsidRPr="00346287">
        <w:rPr>
          <w:rFonts w:cs="Arial"/>
          <w:sz w:val="18"/>
        </w:rPr>
        <w:t>septiembre 2013).</w:t>
      </w:r>
    </w:p>
  </w:footnote>
  <w:footnote w:id="4">
    <w:p w14:paraId="4FFFFDB6" w14:textId="77777777" w:rsidR="008349EC" w:rsidRPr="0083655C" w:rsidRDefault="008349EC" w:rsidP="003B41C3">
      <w:pPr>
        <w:pStyle w:val="Textonotapie"/>
        <w:ind w:right="-283"/>
        <w:jc w:val="both"/>
      </w:pPr>
      <w:r w:rsidRPr="0095339D">
        <w:rPr>
          <w:rStyle w:val="Refdenotaalpie"/>
          <w:sz w:val="18"/>
        </w:rPr>
        <w:footnoteRef/>
      </w:r>
      <w:r w:rsidRPr="0095339D">
        <w:rPr>
          <w:sz w:val="18"/>
        </w:rPr>
        <w:t xml:space="preserve"> </w:t>
      </w:r>
      <w:r w:rsidRPr="0083655C">
        <w:rPr>
          <w:sz w:val="18"/>
        </w:rPr>
        <w:t>Antes LITIGOB era administrado por el Ministerio de Justicia, y el que entró en operación en Mayo de 2011. A la Agencia le entregan el sistema con información de 209</w:t>
      </w:r>
      <w:r>
        <w:rPr>
          <w:sz w:val="18"/>
        </w:rPr>
        <w:t xml:space="preserve"> entidades</w:t>
      </w:r>
      <w:r w:rsidRPr="0083655C">
        <w:rPr>
          <w:sz w:val="18"/>
        </w:rPr>
        <w:t xml:space="preserve"> con 209.754 procesos judiciales activos</w:t>
      </w:r>
      <w:r>
        <w:rPr>
          <w:sz w:val="18"/>
        </w:rPr>
        <w:t>.</w:t>
      </w:r>
    </w:p>
  </w:footnote>
  <w:footnote w:id="5">
    <w:p w14:paraId="2AB51F49" w14:textId="77777777" w:rsidR="008349EC" w:rsidRPr="00346287" w:rsidRDefault="008349EC" w:rsidP="003B41C3">
      <w:pPr>
        <w:pStyle w:val="Textonotapie"/>
        <w:ind w:right="-283"/>
        <w:jc w:val="both"/>
        <w:rPr>
          <w:sz w:val="12"/>
          <w:lang w:val="es-CO"/>
        </w:rPr>
      </w:pPr>
      <w:r w:rsidRPr="00754477">
        <w:rPr>
          <w:rStyle w:val="Refdenotaalpie"/>
          <w:sz w:val="22"/>
        </w:rPr>
        <w:footnoteRef/>
      </w:r>
      <w:r>
        <w:t xml:space="preserve"> </w:t>
      </w:r>
      <w:r w:rsidRPr="00346287">
        <w:rPr>
          <w:sz w:val="18"/>
        </w:rPr>
        <w:t xml:space="preserve">El nivel de jurisprudencia indaga sobre </w:t>
      </w:r>
      <w:r>
        <w:rPr>
          <w:sz w:val="18"/>
        </w:rPr>
        <w:t xml:space="preserve">la incidencia de antecedentes similares o jurisprudencia con fallos históricos. La Fortaleza probatoria, es otra forma de calificar el riesgo procesal a partir del nivel de consistencia y solidez de los hechos frente a las pruebas disponibles para la defensa del proceso.  El riesgo procesal, está asociado a riesgos por: </w:t>
      </w:r>
      <w:r w:rsidRPr="00346287">
        <w:rPr>
          <w:rFonts w:cs="Arial"/>
          <w:sz w:val="18"/>
          <w:lang w:val="es-CO"/>
        </w:rPr>
        <w:t>i) cambio del titular del despacho ii) Posición del Juez de conocimiento, iii) llegada oportuna de las pruebas solicitadas, iv) número de instancias asociadas al proceso, v) medidas de descongestión judicial</w:t>
      </w:r>
      <w:r>
        <w:rPr>
          <w:rFonts w:cs="Arial"/>
          <w:sz w:val="18"/>
          <w:lang w:val="es-CO"/>
        </w:rPr>
        <w:t>. La fortaleza de la defensa corresponde a la poca razonabilidad y/o éxito de las pretensiones del demandante frente a los hechos y normas en las que se fundamenta.</w:t>
      </w:r>
    </w:p>
  </w:footnote>
  <w:footnote w:id="6">
    <w:p w14:paraId="017E0A24" w14:textId="77777777" w:rsidR="008349EC" w:rsidRPr="006020C6" w:rsidRDefault="008349EC" w:rsidP="003B41C3">
      <w:pPr>
        <w:pStyle w:val="Textonotapie"/>
        <w:ind w:right="-283"/>
      </w:pPr>
      <w:r w:rsidRPr="000965BB">
        <w:rPr>
          <w:rStyle w:val="Refdenotaalpie"/>
          <w:sz w:val="22"/>
        </w:rPr>
        <w:footnoteRef/>
      </w:r>
      <w:r w:rsidRPr="000965BB">
        <w:rPr>
          <w:sz w:val="22"/>
        </w:rPr>
        <w:t xml:space="preserve"> </w:t>
      </w:r>
      <w:r w:rsidRPr="000965BB">
        <w:rPr>
          <w:rFonts w:cs="Arial"/>
          <w:sz w:val="18"/>
          <w:lang w:val="es-CO"/>
        </w:rPr>
        <w:t>MFMP 2013-2023</w:t>
      </w:r>
    </w:p>
  </w:footnote>
  <w:footnote w:id="7">
    <w:p w14:paraId="5B57B9A7" w14:textId="77777777" w:rsidR="008349EC" w:rsidRPr="00381662" w:rsidRDefault="008349EC" w:rsidP="003B41C3">
      <w:pPr>
        <w:pStyle w:val="Textonotapie"/>
        <w:ind w:right="-283"/>
        <w:rPr>
          <w:lang w:val="es-CO"/>
        </w:rPr>
      </w:pPr>
      <w:r w:rsidRPr="00091961">
        <w:rPr>
          <w:rStyle w:val="Refdenotaalpie"/>
          <w:sz w:val="18"/>
        </w:rPr>
        <w:footnoteRef/>
      </w:r>
      <w:r w:rsidRPr="00091961">
        <w:rPr>
          <w:sz w:val="18"/>
        </w:rPr>
        <w:t xml:space="preserve"> </w:t>
      </w:r>
      <w:r w:rsidRPr="00277DE0">
        <w:rPr>
          <w:sz w:val="18"/>
          <w:lang w:val="es-CO"/>
        </w:rPr>
        <w:t>MFMP 2013-2023</w:t>
      </w:r>
    </w:p>
  </w:footnote>
  <w:footnote w:id="8">
    <w:p w14:paraId="4F7A2CCF" w14:textId="77777777" w:rsidR="008349EC" w:rsidRPr="00137439" w:rsidRDefault="008349EC" w:rsidP="003B41C3">
      <w:pPr>
        <w:pStyle w:val="Textonotapie"/>
        <w:rPr>
          <w:sz w:val="18"/>
          <w:lang w:val="es-CO"/>
        </w:rPr>
      </w:pPr>
      <w:r w:rsidRPr="00805FA6">
        <w:rPr>
          <w:rStyle w:val="Refdenotaalpie"/>
          <w:sz w:val="18"/>
        </w:rPr>
        <w:footnoteRef/>
      </w:r>
      <w:r w:rsidRPr="00805FA6">
        <w:rPr>
          <w:sz w:val="18"/>
        </w:rPr>
        <w:t xml:space="preserve"> </w:t>
      </w:r>
      <w:r w:rsidRPr="00137439">
        <w:rPr>
          <w:sz w:val="18"/>
          <w:vertAlign w:val="superscript"/>
        </w:rPr>
        <w:footnoteRef/>
      </w:r>
      <w:r w:rsidRPr="00137439">
        <w:rPr>
          <w:sz w:val="18"/>
          <w:lang w:val="es-CO"/>
        </w:rPr>
        <w:t>Tasa de éxito Procesal: Procesos con fallo favorable/Total de procesos con fallo ejecutoriado</w:t>
      </w:r>
    </w:p>
    <w:p w14:paraId="1D15F125" w14:textId="77777777" w:rsidR="008349EC" w:rsidRPr="00805FA6" w:rsidRDefault="008349EC" w:rsidP="003B41C3">
      <w:pPr>
        <w:pStyle w:val="Textonotapie"/>
        <w:rPr>
          <w:sz w:val="18"/>
          <w:lang w:val="es-CO"/>
        </w:rPr>
      </w:pPr>
    </w:p>
    <w:p w14:paraId="6DD0DA27" w14:textId="77777777" w:rsidR="008349EC" w:rsidRPr="00805FA6" w:rsidRDefault="008349EC" w:rsidP="003B41C3">
      <w:pPr>
        <w:pStyle w:val="Textonotapie"/>
        <w:rPr>
          <w:lang w:val="es-CO"/>
        </w:rPr>
      </w:pPr>
      <w:r>
        <w:rPr>
          <w:sz w:val="18"/>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63E4B" w14:textId="77777777" w:rsidR="008349EC" w:rsidRDefault="008349EC" w:rsidP="00F803E1">
    <w:pPr>
      <w:pStyle w:val="Encabezado"/>
      <w:jc w:val="center"/>
    </w:pPr>
    <w:r>
      <w:rPr>
        <w:noProof/>
        <w:lang w:val="es-CO" w:eastAsia="es-CO"/>
      </w:rPr>
      <w:drawing>
        <wp:inline distT="0" distB="0" distL="0" distR="0" wp14:anchorId="3C1E0FB3" wp14:editId="684D24BC">
          <wp:extent cx="3103245" cy="59753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245" cy="597535"/>
                  </a:xfrm>
                  <a:prstGeom prst="rect">
                    <a:avLst/>
                  </a:prstGeom>
                  <a:noFill/>
                </pic:spPr>
              </pic:pic>
            </a:graphicData>
          </a:graphic>
        </wp:inline>
      </w:drawing>
    </w:r>
  </w:p>
  <w:p w14:paraId="1200AA6D" w14:textId="77777777" w:rsidR="008349EC" w:rsidRDefault="008349EC" w:rsidP="00F803E1">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80FCB" w14:textId="77777777" w:rsidR="008349EC" w:rsidRDefault="008349EC" w:rsidP="00F803E1">
    <w:pPr>
      <w:pStyle w:val="Encabezado"/>
      <w:jc w:val="center"/>
    </w:pPr>
    <w:r>
      <w:rPr>
        <w:noProof/>
        <w:lang w:val="es-CO" w:eastAsia="es-CO"/>
      </w:rPr>
      <w:drawing>
        <wp:inline distT="0" distB="0" distL="0" distR="0" wp14:anchorId="77CEB30B" wp14:editId="4FB7A628">
          <wp:extent cx="3103245" cy="597535"/>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245" cy="597535"/>
                  </a:xfrm>
                  <a:prstGeom prst="rect">
                    <a:avLst/>
                  </a:prstGeom>
                  <a:noFill/>
                </pic:spPr>
              </pic:pic>
            </a:graphicData>
          </a:graphic>
        </wp:inline>
      </w:drawing>
    </w:r>
  </w:p>
  <w:p w14:paraId="2662BAD6" w14:textId="77777777" w:rsidR="008349EC" w:rsidRDefault="008349EC" w:rsidP="00F803E1">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496CE" w14:textId="77777777" w:rsidR="008349EC" w:rsidRDefault="008349EC" w:rsidP="00F803E1">
    <w:pPr>
      <w:pStyle w:val="Encabezado"/>
      <w:jc w:val="center"/>
    </w:pPr>
    <w:r>
      <w:rPr>
        <w:noProof/>
        <w:lang w:val="es-CO" w:eastAsia="es-CO"/>
      </w:rPr>
      <w:drawing>
        <wp:inline distT="0" distB="0" distL="0" distR="0" wp14:anchorId="0E9D4FF9" wp14:editId="4411BEBA">
          <wp:extent cx="3103245" cy="59753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245" cy="597535"/>
                  </a:xfrm>
                  <a:prstGeom prst="rect">
                    <a:avLst/>
                  </a:prstGeom>
                  <a:noFill/>
                </pic:spPr>
              </pic:pic>
            </a:graphicData>
          </a:graphic>
        </wp:inline>
      </w:drawing>
    </w:r>
  </w:p>
  <w:p w14:paraId="585A474F" w14:textId="77777777" w:rsidR="008349EC" w:rsidRDefault="008349EC" w:rsidP="00F803E1">
    <w:pPr>
      <w:pStyle w:val="Encabezado"/>
      <w:jc w:val="center"/>
    </w:pPr>
  </w:p>
  <w:p w14:paraId="1A6E7FE3" w14:textId="77777777" w:rsidR="008349EC" w:rsidRDefault="008349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DB5"/>
    <w:multiLevelType w:val="hybridMultilevel"/>
    <w:tmpl w:val="62282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CC310D"/>
    <w:multiLevelType w:val="hybridMultilevel"/>
    <w:tmpl w:val="D9B484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35618C0"/>
    <w:multiLevelType w:val="hybridMultilevel"/>
    <w:tmpl w:val="399A35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36856B2"/>
    <w:multiLevelType w:val="hybridMultilevel"/>
    <w:tmpl w:val="5512E9C8"/>
    <w:lvl w:ilvl="0" w:tplc="240A0009">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4323147"/>
    <w:multiLevelType w:val="hybridMultilevel"/>
    <w:tmpl w:val="4E86FFF0"/>
    <w:lvl w:ilvl="0" w:tplc="C4C0714E">
      <w:start w:val="1"/>
      <w:numFmt w:val="bullet"/>
      <w:lvlText w:val="•"/>
      <w:lvlJc w:val="left"/>
      <w:pPr>
        <w:tabs>
          <w:tab w:val="num" w:pos="360"/>
        </w:tabs>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049D2449"/>
    <w:multiLevelType w:val="hybridMultilevel"/>
    <w:tmpl w:val="776015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4CD5073"/>
    <w:multiLevelType w:val="multilevel"/>
    <w:tmpl w:val="04C08454"/>
    <w:lvl w:ilvl="0">
      <w:start w:val="1"/>
      <w:numFmt w:val="decimal"/>
      <w:lvlText w:val="%1."/>
      <w:lvlJc w:val="left"/>
      <w:pPr>
        <w:ind w:left="76" w:hanging="360"/>
      </w:pPr>
      <w:rPr>
        <w:rFonts w:hint="default"/>
        <w:b/>
        <w:sz w:val="24"/>
        <w:szCs w:val="24"/>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7">
    <w:nsid w:val="08095FDB"/>
    <w:multiLevelType w:val="hybridMultilevel"/>
    <w:tmpl w:val="4A8A2036"/>
    <w:lvl w:ilvl="0" w:tplc="F5BCC67C">
      <w:numFmt w:val="bullet"/>
      <w:lvlText w:val="•"/>
      <w:lvlJc w:val="left"/>
      <w:pPr>
        <w:ind w:left="720" w:hanging="360"/>
      </w:pPr>
      <w:rPr>
        <w:rFonts w:asciiTheme="minorHAnsi" w:eastAsiaTheme="minorHAnsi" w:hAnsiTheme="minorHAns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BA27234"/>
    <w:multiLevelType w:val="hybridMultilevel"/>
    <w:tmpl w:val="0A2A2F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CFC4339"/>
    <w:multiLevelType w:val="hybridMultilevel"/>
    <w:tmpl w:val="6548F970"/>
    <w:lvl w:ilvl="0" w:tplc="240A0009">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0ECA7F0E"/>
    <w:multiLevelType w:val="hybridMultilevel"/>
    <w:tmpl w:val="0F6E741E"/>
    <w:lvl w:ilvl="0" w:tplc="240A0009">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10EA0DE7"/>
    <w:multiLevelType w:val="hybridMultilevel"/>
    <w:tmpl w:val="16EA8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59B7E35"/>
    <w:multiLevelType w:val="hybridMultilevel"/>
    <w:tmpl w:val="144623BE"/>
    <w:lvl w:ilvl="0" w:tplc="939AE562">
      <w:start w:val="1"/>
      <w:numFmt w:val="bullet"/>
      <w:lvlText w:val="•"/>
      <w:lvlJc w:val="left"/>
      <w:pPr>
        <w:tabs>
          <w:tab w:val="num" w:pos="360"/>
        </w:tabs>
        <w:ind w:left="360" w:hanging="360"/>
      </w:pPr>
      <w:rPr>
        <w:rFonts w:ascii="Arial" w:hAnsi="Arial" w:hint="default"/>
      </w:rPr>
    </w:lvl>
    <w:lvl w:ilvl="1" w:tplc="8CFAC330" w:tentative="1">
      <w:start w:val="1"/>
      <w:numFmt w:val="bullet"/>
      <w:lvlText w:val="•"/>
      <w:lvlJc w:val="left"/>
      <w:pPr>
        <w:tabs>
          <w:tab w:val="num" w:pos="1080"/>
        </w:tabs>
        <w:ind w:left="1080" w:hanging="360"/>
      </w:pPr>
      <w:rPr>
        <w:rFonts w:ascii="Arial" w:hAnsi="Arial" w:hint="default"/>
      </w:rPr>
    </w:lvl>
    <w:lvl w:ilvl="2" w:tplc="A4E09BBC" w:tentative="1">
      <w:start w:val="1"/>
      <w:numFmt w:val="bullet"/>
      <w:lvlText w:val="•"/>
      <w:lvlJc w:val="left"/>
      <w:pPr>
        <w:tabs>
          <w:tab w:val="num" w:pos="1800"/>
        </w:tabs>
        <w:ind w:left="1800" w:hanging="360"/>
      </w:pPr>
      <w:rPr>
        <w:rFonts w:ascii="Arial" w:hAnsi="Arial" w:hint="default"/>
      </w:rPr>
    </w:lvl>
    <w:lvl w:ilvl="3" w:tplc="FC8C255C" w:tentative="1">
      <w:start w:val="1"/>
      <w:numFmt w:val="bullet"/>
      <w:lvlText w:val="•"/>
      <w:lvlJc w:val="left"/>
      <w:pPr>
        <w:tabs>
          <w:tab w:val="num" w:pos="2520"/>
        </w:tabs>
        <w:ind w:left="2520" w:hanging="360"/>
      </w:pPr>
      <w:rPr>
        <w:rFonts w:ascii="Arial" w:hAnsi="Arial" w:hint="default"/>
      </w:rPr>
    </w:lvl>
    <w:lvl w:ilvl="4" w:tplc="86CCCD68" w:tentative="1">
      <w:start w:val="1"/>
      <w:numFmt w:val="bullet"/>
      <w:lvlText w:val="•"/>
      <w:lvlJc w:val="left"/>
      <w:pPr>
        <w:tabs>
          <w:tab w:val="num" w:pos="3240"/>
        </w:tabs>
        <w:ind w:left="3240" w:hanging="360"/>
      </w:pPr>
      <w:rPr>
        <w:rFonts w:ascii="Arial" w:hAnsi="Arial" w:hint="default"/>
      </w:rPr>
    </w:lvl>
    <w:lvl w:ilvl="5" w:tplc="853834D8" w:tentative="1">
      <w:start w:val="1"/>
      <w:numFmt w:val="bullet"/>
      <w:lvlText w:val="•"/>
      <w:lvlJc w:val="left"/>
      <w:pPr>
        <w:tabs>
          <w:tab w:val="num" w:pos="3960"/>
        </w:tabs>
        <w:ind w:left="3960" w:hanging="360"/>
      </w:pPr>
      <w:rPr>
        <w:rFonts w:ascii="Arial" w:hAnsi="Arial" w:hint="default"/>
      </w:rPr>
    </w:lvl>
    <w:lvl w:ilvl="6" w:tplc="D00AA902" w:tentative="1">
      <w:start w:val="1"/>
      <w:numFmt w:val="bullet"/>
      <w:lvlText w:val="•"/>
      <w:lvlJc w:val="left"/>
      <w:pPr>
        <w:tabs>
          <w:tab w:val="num" w:pos="4680"/>
        </w:tabs>
        <w:ind w:left="4680" w:hanging="360"/>
      </w:pPr>
      <w:rPr>
        <w:rFonts w:ascii="Arial" w:hAnsi="Arial" w:hint="default"/>
      </w:rPr>
    </w:lvl>
    <w:lvl w:ilvl="7" w:tplc="6556FF6C" w:tentative="1">
      <w:start w:val="1"/>
      <w:numFmt w:val="bullet"/>
      <w:lvlText w:val="•"/>
      <w:lvlJc w:val="left"/>
      <w:pPr>
        <w:tabs>
          <w:tab w:val="num" w:pos="5400"/>
        </w:tabs>
        <w:ind w:left="5400" w:hanging="360"/>
      </w:pPr>
      <w:rPr>
        <w:rFonts w:ascii="Arial" w:hAnsi="Arial" w:hint="default"/>
      </w:rPr>
    </w:lvl>
    <w:lvl w:ilvl="8" w:tplc="7F8CBEE4" w:tentative="1">
      <w:start w:val="1"/>
      <w:numFmt w:val="bullet"/>
      <w:lvlText w:val="•"/>
      <w:lvlJc w:val="left"/>
      <w:pPr>
        <w:tabs>
          <w:tab w:val="num" w:pos="6120"/>
        </w:tabs>
        <w:ind w:left="6120" w:hanging="360"/>
      </w:pPr>
      <w:rPr>
        <w:rFonts w:ascii="Arial" w:hAnsi="Arial" w:hint="default"/>
      </w:rPr>
    </w:lvl>
  </w:abstractNum>
  <w:abstractNum w:abstractNumId="13">
    <w:nsid w:val="16EC1D6A"/>
    <w:multiLevelType w:val="hybridMultilevel"/>
    <w:tmpl w:val="A02C3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7A41408"/>
    <w:multiLevelType w:val="hybridMultilevel"/>
    <w:tmpl w:val="3CB8E9A8"/>
    <w:lvl w:ilvl="0" w:tplc="FC7835CC">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182F05ED"/>
    <w:multiLevelType w:val="hybridMultilevel"/>
    <w:tmpl w:val="05D0574E"/>
    <w:lvl w:ilvl="0" w:tplc="240A0009">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19F16EA0"/>
    <w:multiLevelType w:val="hybridMultilevel"/>
    <w:tmpl w:val="8D4E58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1D754258"/>
    <w:multiLevelType w:val="hybridMultilevel"/>
    <w:tmpl w:val="B84A829C"/>
    <w:lvl w:ilvl="0" w:tplc="F5BCC67C">
      <w:numFmt w:val="bullet"/>
      <w:lvlText w:val="•"/>
      <w:lvlJc w:val="left"/>
      <w:pPr>
        <w:ind w:left="720" w:hanging="360"/>
      </w:pPr>
      <w:rPr>
        <w:rFonts w:asciiTheme="minorHAnsi" w:eastAsiaTheme="minorHAnsi" w:hAnsiTheme="minorHAns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F5113BD"/>
    <w:multiLevelType w:val="multilevel"/>
    <w:tmpl w:val="E1F04574"/>
    <w:lvl w:ilvl="0">
      <w:start w:val="4"/>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20516A80"/>
    <w:multiLevelType w:val="hybridMultilevel"/>
    <w:tmpl w:val="E8D4B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0F4732C"/>
    <w:multiLevelType w:val="hybridMultilevel"/>
    <w:tmpl w:val="F96E97D4"/>
    <w:lvl w:ilvl="0" w:tplc="240A0001">
      <w:start w:val="1"/>
      <w:numFmt w:val="bullet"/>
      <w:lvlText w:val=""/>
      <w:lvlJc w:val="left"/>
      <w:pPr>
        <w:ind w:left="360" w:hanging="360"/>
      </w:pPr>
      <w:rPr>
        <w:rFonts w:ascii="Symbol" w:hAnsi="Symbol" w:hint="default"/>
      </w:rPr>
    </w:lvl>
    <w:lvl w:ilvl="1" w:tplc="2B48F450">
      <w:numFmt w:val="bullet"/>
      <w:lvlText w:val="•"/>
      <w:lvlJc w:val="left"/>
      <w:pPr>
        <w:ind w:left="720" w:firstLine="0"/>
      </w:pPr>
      <w:rPr>
        <w:rFonts w:asciiTheme="minorHAnsi" w:eastAsiaTheme="minorHAnsi" w:hAnsiTheme="minorHAnsi" w:cstheme="minorBid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2327457F"/>
    <w:multiLevelType w:val="hybridMultilevel"/>
    <w:tmpl w:val="B5DA01C8"/>
    <w:lvl w:ilvl="0" w:tplc="240A0009">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24201C33"/>
    <w:multiLevelType w:val="hybridMultilevel"/>
    <w:tmpl w:val="4022A548"/>
    <w:lvl w:ilvl="0" w:tplc="FC7835CC">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5574161"/>
    <w:multiLevelType w:val="hybridMultilevel"/>
    <w:tmpl w:val="ED488E02"/>
    <w:lvl w:ilvl="0" w:tplc="240A0009">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25AE4BD0"/>
    <w:multiLevelType w:val="hybridMultilevel"/>
    <w:tmpl w:val="D56C089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282C65E3"/>
    <w:multiLevelType w:val="hybridMultilevel"/>
    <w:tmpl w:val="E1CE4404"/>
    <w:lvl w:ilvl="0" w:tplc="FC7835CC">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291535BB"/>
    <w:multiLevelType w:val="hybridMultilevel"/>
    <w:tmpl w:val="1E4EF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A105992"/>
    <w:multiLevelType w:val="hybridMultilevel"/>
    <w:tmpl w:val="DC0AFF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2F336546"/>
    <w:multiLevelType w:val="hybridMultilevel"/>
    <w:tmpl w:val="0B3EC614"/>
    <w:lvl w:ilvl="0" w:tplc="FC7835CC">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32313B38"/>
    <w:multiLevelType w:val="hybridMultilevel"/>
    <w:tmpl w:val="4B9872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33981443"/>
    <w:multiLevelType w:val="hybridMultilevel"/>
    <w:tmpl w:val="FB104012"/>
    <w:lvl w:ilvl="0" w:tplc="240A0009">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33AD3E37"/>
    <w:multiLevelType w:val="hybridMultilevel"/>
    <w:tmpl w:val="27AA1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351F2C4C"/>
    <w:multiLevelType w:val="multilevel"/>
    <w:tmpl w:val="593013E6"/>
    <w:lvl w:ilvl="0">
      <w:start w:val="4"/>
      <w:numFmt w:val="decimal"/>
      <w:lvlText w:val="%1"/>
      <w:lvlJc w:val="left"/>
      <w:pPr>
        <w:ind w:left="780" w:hanging="780"/>
      </w:pPr>
      <w:rPr>
        <w:rFonts w:hint="default"/>
        <w:b/>
      </w:rPr>
    </w:lvl>
    <w:lvl w:ilvl="1">
      <w:start w:val="1"/>
      <w:numFmt w:val="decimal"/>
      <w:lvlText w:val="%1.%2"/>
      <w:lvlJc w:val="left"/>
      <w:pPr>
        <w:ind w:left="780" w:hanging="780"/>
      </w:pPr>
      <w:rPr>
        <w:rFonts w:hint="default"/>
        <w:b/>
      </w:rPr>
    </w:lvl>
    <w:lvl w:ilvl="2">
      <w:start w:val="2"/>
      <w:numFmt w:val="decimal"/>
      <w:lvlText w:val="%1.%2.%3"/>
      <w:lvlJc w:val="left"/>
      <w:pPr>
        <w:ind w:left="780" w:hanging="7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nsid w:val="358C056A"/>
    <w:multiLevelType w:val="hybridMultilevel"/>
    <w:tmpl w:val="D9703FB2"/>
    <w:lvl w:ilvl="0" w:tplc="FC7835CC">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35ED70B3"/>
    <w:multiLevelType w:val="hybridMultilevel"/>
    <w:tmpl w:val="BCEAF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38554617"/>
    <w:multiLevelType w:val="hybridMultilevel"/>
    <w:tmpl w:val="40B00FEC"/>
    <w:lvl w:ilvl="0" w:tplc="240A0001">
      <w:start w:val="1"/>
      <w:numFmt w:val="bullet"/>
      <w:lvlText w:val=""/>
      <w:lvlJc w:val="left"/>
      <w:pPr>
        <w:tabs>
          <w:tab w:val="num" w:pos="720"/>
        </w:tabs>
        <w:ind w:left="720" w:hanging="360"/>
      </w:pPr>
      <w:rPr>
        <w:rFonts w:ascii="Symbol" w:hAnsi="Symbol" w:hint="default"/>
      </w:rPr>
    </w:lvl>
    <w:lvl w:ilvl="1" w:tplc="B49C7206" w:tentative="1">
      <w:start w:val="1"/>
      <w:numFmt w:val="lowerRoman"/>
      <w:lvlText w:val="(%2)"/>
      <w:lvlJc w:val="right"/>
      <w:pPr>
        <w:tabs>
          <w:tab w:val="num" w:pos="1440"/>
        </w:tabs>
        <w:ind w:left="1440" w:hanging="360"/>
      </w:pPr>
    </w:lvl>
    <w:lvl w:ilvl="2" w:tplc="B1E2BA88" w:tentative="1">
      <w:start w:val="1"/>
      <w:numFmt w:val="lowerRoman"/>
      <w:lvlText w:val="(%3)"/>
      <w:lvlJc w:val="right"/>
      <w:pPr>
        <w:tabs>
          <w:tab w:val="num" w:pos="2160"/>
        </w:tabs>
        <w:ind w:left="2160" w:hanging="360"/>
      </w:pPr>
    </w:lvl>
    <w:lvl w:ilvl="3" w:tplc="7BDC0B6C" w:tentative="1">
      <w:start w:val="1"/>
      <w:numFmt w:val="lowerRoman"/>
      <w:lvlText w:val="(%4)"/>
      <w:lvlJc w:val="right"/>
      <w:pPr>
        <w:tabs>
          <w:tab w:val="num" w:pos="2880"/>
        </w:tabs>
        <w:ind w:left="2880" w:hanging="360"/>
      </w:pPr>
    </w:lvl>
    <w:lvl w:ilvl="4" w:tplc="A5BA5992" w:tentative="1">
      <w:start w:val="1"/>
      <w:numFmt w:val="lowerRoman"/>
      <w:lvlText w:val="(%5)"/>
      <w:lvlJc w:val="right"/>
      <w:pPr>
        <w:tabs>
          <w:tab w:val="num" w:pos="3600"/>
        </w:tabs>
        <w:ind w:left="3600" w:hanging="360"/>
      </w:pPr>
    </w:lvl>
    <w:lvl w:ilvl="5" w:tplc="B280513E" w:tentative="1">
      <w:start w:val="1"/>
      <w:numFmt w:val="lowerRoman"/>
      <w:lvlText w:val="(%6)"/>
      <w:lvlJc w:val="right"/>
      <w:pPr>
        <w:tabs>
          <w:tab w:val="num" w:pos="4320"/>
        </w:tabs>
        <w:ind w:left="4320" w:hanging="360"/>
      </w:pPr>
    </w:lvl>
    <w:lvl w:ilvl="6" w:tplc="51580CF4" w:tentative="1">
      <w:start w:val="1"/>
      <w:numFmt w:val="lowerRoman"/>
      <w:lvlText w:val="(%7)"/>
      <w:lvlJc w:val="right"/>
      <w:pPr>
        <w:tabs>
          <w:tab w:val="num" w:pos="5040"/>
        </w:tabs>
        <w:ind w:left="5040" w:hanging="360"/>
      </w:pPr>
    </w:lvl>
    <w:lvl w:ilvl="7" w:tplc="6C1E38F4" w:tentative="1">
      <w:start w:val="1"/>
      <w:numFmt w:val="lowerRoman"/>
      <w:lvlText w:val="(%8)"/>
      <w:lvlJc w:val="right"/>
      <w:pPr>
        <w:tabs>
          <w:tab w:val="num" w:pos="5760"/>
        </w:tabs>
        <w:ind w:left="5760" w:hanging="360"/>
      </w:pPr>
    </w:lvl>
    <w:lvl w:ilvl="8" w:tplc="40F8F0D2" w:tentative="1">
      <w:start w:val="1"/>
      <w:numFmt w:val="lowerRoman"/>
      <w:lvlText w:val="(%9)"/>
      <w:lvlJc w:val="right"/>
      <w:pPr>
        <w:tabs>
          <w:tab w:val="num" w:pos="6480"/>
        </w:tabs>
        <w:ind w:left="6480" w:hanging="360"/>
      </w:pPr>
    </w:lvl>
  </w:abstractNum>
  <w:abstractNum w:abstractNumId="36">
    <w:nsid w:val="3B5B40C6"/>
    <w:multiLevelType w:val="hybridMultilevel"/>
    <w:tmpl w:val="59AC6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3CD90376"/>
    <w:multiLevelType w:val="hybridMultilevel"/>
    <w:tmpl w:val="E79870EC"/>
    <w:lvl w:ilvl="0" w:tplc="FC7835CC">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3D145CE7"/>
    <w:multiLevelType w:val="hybridMultilevel"/>
    <w:tmpl w:val="399A35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3D6B0558"/>
    <w:multiLevelType w:val="hybridMultilevel"/>
    <w:tmpl w:val="8D9C1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E74253E"/>
    <w:multiLevelType w:val="hybridMultilevel"/>
    <w:tmpl w:val="E4C04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3F6D00AD"/>
    <w:multiLevelType w:val="hybridMultilevel"/>
    <w:tmpl w:val="441440B8"/>
    <w:lvl w:ilvl="0" w:tplc="FC7835CC">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419412A5"/>
    <w:multiLevelType w:val="hybridMultilevel"/>
    <w:tmpl w:val="D7044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44AF3FF4"/>
    <w:multiLevelType w:val="hybridMultilevel"/>
    <w:tmpl w:val="6F94EB7C"/>
    <w:lvl w:ilvl="0" w:tplc="F5BCC67C">
      <w:numFmt w:val="bullet"/>
      <w:lvlText w:val="•"/>
      <w:lvlJc w:val="left"/>
      <w:pPr>
        <w:ind w:left="720" w:hanging="360"/>
      </w:pPr>
      <w:rPr>
        <w:rFonts w:asciiTheme="minorHAnsi" w:eastAsiaTheme="minorHAnsi" w:hAnsiTheme="minorHAns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49FA4CD9"/>
    <w:multiLevelType w:val="hybridMultilevel"/>
    <w:tmpl w:val="182A5AB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4A2126D3"/>
    <w:multiLevelType w:val="hybridMultilevel"/>
    <w:tmpl w:val="28F6B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4AE14FB4"/>
    <w:multiLevelType w:val="hybridMultilevel"/>
    <w:tmpl w:val="9C7E27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nsid w:val="4C005E5E"/>
    <w:multiLevelType w:val="hybridMultilevel"/>
    <w:tmpl w:val="008677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nsid w:val="4CCD2A62"/>
    <w:multiLevelType w:val="hybridMultilevel"/>
    <w:tmpl w:val="399A35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4FBC2C80"/>
    <w:multiLevelType w:val="hybridMultilevel"/>
    <w:tmpl w:val="C84EF2B6"/>
    <w:lvl w:ilvl="0" w:tplc="FC7835CC">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nsid w:val="546F7164"/>
    <w:multiLevelType w:val="multilevel"/>
    <w:tmpl w:val="A4166C50"/>
    <w:lvl w:ilvl="0">
      <w:start w:val="4"/>
      <w:numFmt w:val="decimal"/>
      <w:lvlText w:val="%1."/>
      <w:lvlJc w:val="left"/>
      <w:pPr>
        <w:ind w:left="420" w:hanging="42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nsid w:val="562931EC"/>
    <w:multiLevelType w:val="hybridMultilevel"/>
    <w:tmpl w:val="E1F06336"/>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nsid w:val="57395C91"/>
    <w:multiLevelType w:val="multilevel"/>
    <w:tmpl w:val="D1D693E2"/>
    <w:lvl w:ilvl="0">
      <w:start w:val="7"/>
      <w:numFmt w:val="decimal"/>
      <w:lvlText w:val="%1."/>
      <w:lvlJc w:val="left"/>
      <w:pPr>
        <w:ind w:left="420" w:hanging="42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53">
    <w:nsid w:val="59E4415F"/>
    <w:multiLevelType w:val="multilevel"/>
    <w:tmpl w:val="CEAC22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5CFF6788"/>
    <w:multiLevelType w:val="hybridMultilevel"/>
    <w:tmpl w:val="2586C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65843E5A"/>
    <w:multiLevelType w:val="hybridMultilevel"/>
    <w:tmpl w:val="7620459E"/>
    <w:lvl w:ilvl="0" w:tplc="240A0001">
      <w:start w:val="1"/>
      <w:numFmt w:val="bullet"/>
      <w:lvlText w:val=""/>
      <w:lvlJc w:val="left"/>
      <w:pPr>
        <w:ind w:left="720" w:hanging="360"/>
      </w:pPr>
      <w:rPr>
        <w:rFonts w:ascii="Symbol" w:hAnsi="Symbol" w:hint="default"/>
      </w:rPr>
    </w:lvl>
    <w:lvl w:ilvl="1" w:tplc="518E216E">
      <w:numFmt w:val="bullet"/>
      <w:lvlText w:val="•"/>
      <w:lvlJc w:val="left"/>
      <w:pPr>
        <w:ind w:left="1440" w:hanging="360"/>
      </w:pPr>
      <w:rPr>
        <w:rFonts w:asciiTheme="minorHAnsi" w:eastAsiaTheme="minorHAnsi" w:hAnsiTheme="minorHAns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6600638E"/>
    <w:multiLevelType w:val="hybridMultilevel"/>
    <w:tmpl w:val="7FA2FFB4"/>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nsid w:val="668E14A5"/>
    <w:multiLevelType w:val="hybridMultilevel"/>
    <w:tmpl w:val="48682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6744690C"/>
    <w:multiLevelType w:val="hybridMultilevel"/>
    <w:tmpl w:val="9C54AC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nsid w:val="695E14D1"/>
    <w:multiLevelType w:val="hybridMultilevel"/>
    <w:tmpl w:val="FC2CBD5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0">
    <w:nsid w:val="69F10843"/>
    <w:multiLevelType w:val="hybridMultilevel"/>
    <w:tmpl w:val="1AE669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6A296745"/>
    <w:multiLevelType w:val="multilevel"/>
    <w:tmpl w:val="02FA8AB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70356295"/>
    <w:multiLevelType w:val="hybridMultilevel"/>
    <w:tmpl w:val="89E24DEE"/>
    <w:lvl w:ilvl="0" w:tplc="FEBC32EA">
      <w:start w:val="1"/>
      <w:numFmt w:val="bullet"/>
      <w:lvlText w:val="•"/>
      <w:lvlJc w:val="left"/>
      <w:pPr>
        <w:tabs>
          <w:tab w:val="num" w:pos="720"/>
        </w:tabs>
        <w:ind w:left="720" w:hanging="360"/>
      </w:pPr>
      <w:rPr>
        <w:rFonts w:ascii="Arial" w:hAnsi="Arial" w:hint="default"/>
      </w:rPr>
    </w:lvl>
    <w:lvl w:ilvl="1" w:tplc="947CCC24" w:tentative="1">
      <w:start w:val="1"/>
      <w:numFmt w:val="bullet"/>
      <w:lvlText w:val="•"/>
      <w:lvlJc w:val="left"/>
      <w:pPr>
        <w:tabs>
          <w:tab w:val="num" w:pos="1440"/>
        </w:tabs>
        <w:ind w:left="1440" w:hanging="360"/>
      </w:pPr>
      <w:rPr>
        <w:rFonts w:ascii="Arial" w:hAnsi="Arial" w:hint="default"/>
      </w:rPr>
    </w:lvl>
    <w:lvl w:ilvl="2" w:tplc="FED27D00" w:tentative="1">
      <w:start w:val="1"/>
      <w:numFmt w:val="bullet"/>
      <w:lvlText w:val="•"/>
      <w:lvlJc w:val="left"/>
      <w:pPr>
        <w:tabs>
          <w:tab w:val="num" w:pos="2160"/>
        </w:tabs>
        <w:ind w:left="2160" w:hanging="360"/>
      </w:pPr>
      <w:rPr>
        <w:rFonts w:ascii="Arial" w:hAnsi="Arial" w:hint="default"/>
      </w:rPr>
    </w:lvl>
    <w:lvl w:ilvl="3" w:tplc="E51C1888" w:tentative="1">
      <w:start w:val="1"/>
      <w:numFmt w:val="bullet"/>
      <w:lvlText w:val="•"/>
      <w:lvlJc w:val="left"/>
      <w:pPr>
        <w:tabs>
          <w:tab w:val="num" w:pos="2880"/>
        </w:tabs>
        <w:ind w:left="2880" w:hanging="360"/>
      </w:pPr>
      <w:rPr>
        <w:rFonts w:ascii="Arial" w:hAnsi="Arial" w:hint="default"/>
      </w:rPr>
    </w:lvl>
    <w:lvl w:ilvl="4" w:tplc="7E00455A" w:tentative="1">
      <w:start w:val="1"/>
      <w:numFmt w:val="bullet"/>
      <w:lvlText w:val="•"/>
      <w:lvlJc w:val="left"/>
      <w:pPr>
        <w:tabs>
          <w:tab w:val="num" w:pos="3600"/>
        </w:tabs>
        <w:ind w:left="3600" w:hanging="360"/>
      </w:pPr>
      <w:rPr>
        <w:rFonts w:ascii="Arial" w:hAnsi="Arial" w:hint="default"/>
      </w:rPr>
    </w:lvl>
    <w:lvl w:ilvl="5" w:tplc="EF483918" w:tentative="1">
      <w:start w:val="1"/>
      <w:numFmt w:val="bullet"/>
      <w:lvlText w:val="•"/>
      <w:lvlJc w:val="left"/>
      <w:pPr>
        <w:tabs>
          <w:tab w:val="num" w:pos="4320"/>
        </w:tabs>
        <w:ind w:left="4320" w:hanging="360"/>
      </w:pPr>
      <w:rPr>
        <w:rFonts w:ascii="Arial" w:hAnsi="Arial" w:hint="default"/>
      </w:rPr>
    </w:lvl>
    <w:lvl w:ilvl="6" w:tplc="DE7E388E" w:tentative="1">
      <w:start w:val="1"/>
      <w:numFmt w:val="bullet"/>
      <w:lvlText w:val="•"/>
      <w:lvlJc w:val="left"/>
      <w:pPr>
        <w:tabs>
          <w:tab w:val="num" w:pos="5040"/>
        </w:tabs>
        <w:ind w:left="5040" w:hanging="360"/>
      </w:pPr>
      <w:rPr>
        <w:rFonts w:ascii="Arial" w:hAnsi="Arial" w:hint="default"/>
      </w:rPr>
    </w:lvl>
    <w:lvl w:ilvl="7" w:tplc="F850CA20" w:tentative="1">
      <w:start w:val="1"/>
      <w:numFmt w:val="bullet"/>
      <w:lvlText w:val="•"/>
      <w:lvlJc w:val="left"/>
      <w:pPr>
        <w:tabs>
          <w:tab w:val="num" w:pos="5760"/>
        </w:tabs>
        <w:ind w:left="5760" w:hanging="360"/>
      </w:pPr>
      <w:rPr>
        <w:rFonts w:ascii="Arial" w:hAnsi="Arial" w:hint="default"/>
      </w:rPr>
    </w:lvl>
    <w:lvl w:ilvl="8" w:tplc="BB9A8E54" w:tentative="1">
      <w:start w:val="1"/>
      <w:numFmt w:val="bullet"/>
      <w:lvlText w:val="•"/>
      <w:lvlJc w:val="left"/>
      <w:pPr>
        <w:tabs>
          <w:tab w:val="num" w:pos="6480"/>
        </w:tabs>
        <w:ind w:left="6480" w:hanging="360"/>
      </w:pPr>
      <w:rPr>
        <w:rFonts w:ascii="Arial" w:hAnsi="Arial" w:hint="default"/>
      </w:rPr>
    </w:lvl>
  </w:abstractNum>
  <w:abstractNum w:abstractNumId="63">
    <w:nsid w:val="71645F07"/>
    <w:multiLevelType w:val="hybridMultilevel"/>
    <w:tmpl w:val="D8B069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nsid w:val="72F73CB2"/>
    <w:multiLevelType w:val="hybridMultilevel"/>
    <w:tmpl w:val="5C9C48B0"/>
    <w:lvl w:ilvl="0" w:tplc="FC7835CC">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nsid w:val="7AC238F6"/>
    <w:multiLevelType w:val="hybridMultilevel"/>
    <w:tmpl w:val="E8AE1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nsid w:val="7D5B57C8"/>
    <w:multiLevelType w:val="hybridMultilevel"/>
    <w:tmpl w:val="97C84512"/>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8"/>
  </w:num>
  <w:num w:numId="3">
    <w:abstractNumId w:val="2"/>
  </w:num>
  <w:num w:numId="4">
    <w:abstractNumId w:val="48"/>
  </w:num>
  <w:num w:numId="5">
    <w:abstractNumId w:val="34"/>
  </w:num>
  <w:num w:numId="6">
    <w:abstractNumId w:val="1"/>
  </w:num>
  <w:num w:numId="7">
    <w:abstractNumId w:val="6"/>
  </w:num>
  <w:num w:numId="8">
    <w:abstractNumId w:val="29"/>
  </w:num>
  <w:num w:numId="9">
    <w:abstractNumId w:val="15"/>
  </w:num>
  <w:num w:numId="10">
    <w:abstractNumId w:val="51"/>
  </w:num>
  <w:num w:numId="11">
    <w:abstractNumId w:val="44"/>
  </w:num>
  <w:num w:numId="12">
    <w:abstractNumId w:val="39"/>
  </w:num>
  <w:num w:numId="13">
    <w:abstractNumId w:val="14"/>
  </w:num>
  <w:num w:numId="14">
    <w:abstractNumId w:val="49"/>
  </w:num>
  <w:num w:numId="15">
    <w:abstractNumId w:val="10"/>
  </w:num>
  <w:num w:numId="16">
    <w:abstractNumId w:val="21"/>
  </w:num>
  <w:num w:numId="17">
    <w:abstractNumId w:val="64"/>
  </w:num>
  <w:num w:numId="18">
    <w:abstractNumId w:val="3"/>
  </w:num>
  <w:num w:numId="19">
    <w:abstractNumId w:val="9"/>
  </w:num>
  <w:num w:numId="20">
    <w:abstractNumId w:val="41"/>
  </w:num>
  <w:num w:numId="21">
    <w:abstractNumId w:val="26"/>
  </w:num>
  <w:num w:numId="22">
    <w:abstractNumId w:val="30"/>
  </w:num>
  <w:num w:numId="23">
    <w:abstractNumId w:val="23"/>
  </w:num>
  <w:num w:numId="24">
    <w:abstractNumId w:val="25"/>
  </w:num>
  <w:num w:numId="25">
    <w:abstractNumId w:val="37"/>
  </w:num>
  <w:num w:numId="26">
    <w:abstractNumId w:val="33"/>
  </w:num>
  <w:num w:numId="27">
    <w:abstractNumId w:val="58"/>
  </w:num>
  <w:num w:numId="28">
    <w:abstractNumId w:val="20"/>
  </w:num>
  <w:num w:numId="29">
    <w:abstractNumId w:val="4"/>
  </w:num>
  <w:num w:numId="30">
    <w:abstractNumId w:val="12"/>
  </w:num>
  <w:num w:numId="31">
    <w:abstractNumId w:val="62"/>
  </w:num>
  <w:num w:numId="32">
    <w:abstractNumId w:val="55"/>
  </w:num>
  <w:num w:numId="33">
    <w:abstractNumId w:val="7"/>
  </w:num>
  <w:num w:numId="34">
    <w:abstractNumId w:val="17"/>
  </w:num>
  <w:num w:numId="35">
    <w:abstractNumId w:val="43"/>
  </w:num>
  <w:num w:numId="36">
    <w:abstractNumId w:val="19"/>
  </w:num>
  <w:num w:numId="37">
    <w:abstractNumId w:val="63"/>
  </w:num>
  <w:num w:numId="38">
    <w:abstractNumId w:val="57"/>
  </w:num>
  <w:num w:numId="39">
    <w:abstractNumId w:val="60"/>
  </w:num>
  <w:num w:numId="40">
    <w:abstractNumId w:val="54"/>
  </w:num>
  <w:num w:numId="41">
    <w:abstractNumId w:val="42"/>
  </w:num>
  <w:num w:numId="42">
    <w:abstractNumId w:val="5"/>
  </w:num>
  <w:num w:numId="43">
    <w:abstractNumId w:val="13"/>
  </w:num>
  <w:num w:numId="44">
    <w:abstractNumId w:val="45"/>
  </w:num>
  <w:num w:numId="45">
    <w:abstractNumId w:val="40"/>
  </w:num>
  <w:num w:numId="46">
    <w:abstractNumId w:val="56"/>
  </w:num>
  <w:num w:numId="47">
    <w:abstractNumId w:val="16"/>
  </w:num>
  <w:num w:numId="48">
    <w:abstractNumId w:val="24"/>
  </w:num>
  <w:num w:numId="49">
    <w:abstractNumId w:val="46"/>
  </w:num>
  <w:num w:numId="50">
    <w:abstractNumId w:val="36"/>
  </w:num>
  <w:num w:numId="51">
    <w:abstractNumId w:val="47"/>
  </w:num>
  <w:num w:numId="52">
    <w:abstractNumId w:val="8"/>
  </w:num>
  <w:num w:numId="53">
    <w:abstractNumId w:val="59"/>
  </w:num>
  <w:num w:numId="54">
    <w:abstractNumId w:val="65"/>
  </w:num>
  <w:num w:numId="55">
    <w:abstractNumId w:val="27"/>
  </w:num>
  <w:num w:numId="56">
    <w:abstractNumId w:val="35"/>
  </w:num>
  <w:num w:numId="57">
    <w:abstractNumId w:val="11"/>
  </w:num>
  <w:num w:numId="58">
    <w:abstractNumId w:val="31"/>
  </w:num>
  <w:num w:numId="59">
    <w:abstractNumId w:val="53"/>
  </w:num>
  <w:num w:numId="60">
    <w:abstractNumId w:val="28"/>
  </w:num>
  <w:num w:numId="61">
    <w:abstractNumId w:val="22"/>
  </w:num>
  <w:num w:numId="62">
    <w:abstractNumId w:val="66"/>
  </w:num>
  <w:num w:numId="63">
    <w:abstractNumId w:val="32"/>
  </w:num>
  <w:num w:numId="64">
    <w:abstractNumId w:val="18"/>
  </w:num>
  <w:num w:numId="65">
    <w:abstractNumId w:val="61"/>
  </w:num>
  <w:num w:numId="66">
    <w:abstractNumId w:val="50"/>
  </w:num>
  <w:num w:numId="67">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6D"/>
    <w:rsid w:val="0000319D"/>
    <w:rsid w:val="00005C1A"/>
    <w:rsid w:val="000111F9"/>
    <w:rsid w:val="0001165F"/>
    <w:rsid w:val="00014686"/>
    <w:rsid w:val="00015979"/>
    <w:rsid w:val="00016827"/>
    <w:rsid w:val="00023EFD"/>
    <w:rsid w:val="00024165"/>
    <w:rsid w:val="00026F2E"/>
    <w:rsid w:val="00026F9F"/>
    <w:rsid w:val="00030909"/>
    <w:rsid w:val="00030954"/>
    <w:rsid w:val="00033139"/>
    <w:rsid w:val="000342B7"/>
    <w:rsid w:val="0003574E"/>
    <w:rsid w:val="00036652"/>
    <w:rsid w:val="00041599"/>
    <w:rsid w:val="00041FE5"/>
    <w:rsid w:val="000432A1"/>
    <w:rsid w:val="00044539"/>
    <w:rsid w:val="00046C55"/>
    <w:rsid w:val="0005339D"/>
    <w:rsid w:val="00057171"/>
    <w:rsid w:val="00057207"/>
    <w:rsid w:val="0006212B"/>
    <w:rsid w:val="00062F1C"/>
    <w:rsid w:val="000633E9"/>
    <w:rsid w:val="000642A6"/>
    <w:rsid w:val="000742BC"/>
    <w:rsid w:val="0007669C"/>
    <w:rsid w:val="00080DFE"/>
    <w:rsid w:val="00084B1E"/>
    <w:rsid w:val="00090CA2"/>
    <w:rsid w:val="00091961"/>
    <w:rsid w:val="00095BCE"/>
    <w:rsid w:val="00096928"/>
    <w:rsid w:val="000A4A62"/>
    <w:rsid w:val="000B09E0"/>
    <w:rsid w:val="000B1B69"/>
    <w:rsid w:val="000B26E6"/>
    <w:rsid w:val="000B4FFC"/>
    <w:rsid w:val="000C32E6"/>
    <w:rsid w:val="000C76E7"/>
    <w:rsid w:val="000C7FB3"/>
    <w:rsid w:val="000D49A0"/>
    <w:rsid w:val="000D5065"/>
    <w:rsid w:val="000E2425"/>
    <w:rsid w:val="000E4231"/>
    <w:rsid w:val="000E6F83"/>
    <w:rsid w:val="000F18DA"/>
    <w:rsid w:val="000F3F40"/>
    <w:rsid w:val="000F7C47"/>
    <w:rsid w:val="00100A7D"/>
    <w:rsid w:val="00100B2B"/>
    <w:rsid w:val="001019D2"/>
    <w:rsid w:val="00105F00"/>
    <w:rsid w:val="00106060"/>
    <w:rsid w:val="00107D10"/>
    <w:rsid w:val="00111FB8"/>
    <w:rsid w:val="001129B1"/>
    <w:rsid w:val="001167EF"/>
    <w:rsid w:val="00117178"/>
    <w:rsid w:val="00121BA4"/>
    <w:rsid w:val="00122B4F"/>
    <w:rsid w:val="00124118"/>
    <w:rsid w:val="00124F0F"/>
    <w:rsid w:val="0012541F"/>
    <w:rsid w:val="00126304"/>
    <w:rsid w:val="001271B4"/>
    <w:rsid w:val="00127865"/>
    <w:rsid w:val="00130EEC"/>
    <w:rsid w:val="001313CE"/>
    <w:rsid w:val="00132078"/>
    <w:rsid w:val="001329FF"/>
    <w:rsid w:val="00132B06"/>
    <w:rsid w:val="00136A1B"/>
    <w:rsid w:val="00137439"/>
    <w:rsid w:val="001374E6"/>
    <w:rsid w:val="00143857"/>
    <w:rsid w:val="001508CE"/>
    <w:rsid w:val="00151D77"/>
    <w:rsid w:val="00154913"/>
    <w:rsid w:val="0015525C"/>
    <w:rsid w:val="0015669D"/>
    <w:rsid w:val="00157649"/>
    <w:rsid w:val="00157E06"/>
    <w:rsid w:val="001615FB"/>
    <w:rsid w:val="00164381"/>
    <w:rsid w:val="0016442D"/>
    <w:rsid w:val="001711F5"/>
    <w:rsid w:val="00174C3C"/>
    <w:rsid w:val="00186D5F"/>
    <w:rsid w:val="00187D28"/>
    <w:rsid w:val="00191960"/>
    <w:rsid w:val="00192E6B"/>
    <w:rsid w:val="0019581B"/>
    <w:rsid w:val="001A6B6B"/>
    <w:rsid w:val="001B0ABB"/>
    <w:rsid w:val="001B4C05"/>
    <w:rsid w:val="001B59AB"/>
    <w:rsid w:val="001C1519"/>
    <w:rsid w:val="001C34F9"/>
    <w:rsid w:val="001C5640"/>
    <w:rsid w:val="001D71B4"/>
    <w:rsid w:val="001E1AF7"/>
    <w:rsid w:val="001E3E0A"/>
    <w:rsid w:val="001E5981"/>
    <w:rsid w:val="001E686B"/>
    <w:rsid w:val="001F0049"/>
    <w:rsid w:val="001F04BC"/>
    <w:rsid w:val="001F5561"/>
    <w:rsid w:val="001F7676"/>
    <w:rsid w:val="002013EB"/>
    <w:rsid w:val="00202AA7"/>
    <w:rsid w:val="00204202"/>
    <w:rsid w:val="00204BF5"/>
    <w:rsid w:val="00206FF6"/>
    <w:rsid w:val="00215BEA"/>
    <w:rsid w:val="0022534D"/>
    <w:rsid w:val="002273B7"/>
    <w:rsid w:val="00233C70"/>
    <w:rsid w:val="002345D2"/>
    <w:rsid w:val="00234895"/>
    <w:rsid w:val="002351FE"/>
    <w:rsid w:val="0023785E"/>
    <w:rsid w:val="00244D5A"/>
    <w:rsid w:val="00247353"/>
    <w:rsid w:val="00247F7F"/>
    <w:rsid w:val="0025035D"/>
    <w:rsid w:val="00255232"/>
    <w:rsid w:val="00260303"/>
    <w:rsid w:val="00270F3C"/>
    <w:rsid w:val="0027239C"/>
    <w:rsid w:val="002728DA"/>
    <w:rsid w:val="00275153"/>
    <w:rsid w:val="002770F5"/>
    <w:rsid w:val="00277DE0"/>
    <w:rsid w:val="00283280"/>
    <w:rsid w:val="00286B61"/>
    <w:rsid w:val="00287D80"/>
    <w:rsid w:val="00291549"/>
    <w:rsid w:val="00292006"/>
    <w:rsid w:val="002925DE"/>
    <w:rsid w:val="002974D7"/>
    <w:rsid w:val="00297BD4"/>
    <w:rsid w:val="002A12A4"/>
    <w:rsid w:val="002A181F"/>
    <w:rsid w:val="002A226D"/>
    <w:rsid w:val="002A232D"/>
    <w:rsid w:val="002A3FAD"/>
    <w:rsid w:val="002A683D"/>
    <w:rsid w:val="002C069A"/>
    <w:rsid w:val="002C3F45"/>
    <w:rsid w:val="002C3F5C"/>
    <w:rsid w:val="002C4CB1"/>
    <w:rsid w:val="002C661D"/>
    <w:rsid w:val="002D4471"/>
    <w:rsid w:val="002E4802"/>
    <w:rsid w:val="002E79E8"/>
    <w:rsid w:val="002F2D20"/>
    <w:rsid w:val="002F3077"/>
    <w:rsid w:val="002F3884"/>
    <w:rsid w:val="002F486A"/>
    <w:rsid w:val="002F5EC2"/>
    <w:rsid w:val="00300367"/>
    <w:rsid w:val="0031102C"/>
    <w:rsid w:val="0031106D"/>
    <w:rsid w:val="00313CBF"/>
    <w:rsid w:val="00317BFB"/>
    <w:rsid w:val="003255AC"/>
    <w:rsid w:val="003268DF"/>
    <w:rsid w:val="00326984"/>
    <w:rsid w:val="00333311"/>
    <w:rsid w:val="00333A34"/>
    <w:rsid w:val="00335BCC"/>
    <w:rsid w:val="00340147"/>
    <w:rsid w:val="003404C9"/>
    <w:rsid w:val="00343957"/>
    <w:rsid w:val="00343C9F"/>
    <w:rsid w:val="003445A7"/>
    <w:rsid w:val="003459CE"/>
    <w:rsid w:val="00346287"/>
    <w:rsid w:val="003465DA"/>
    <w:rsid w:val="00347A7F"/>
    <w:rsid w:val="00352BA9"/>
    <w:rsid w:val="00353FD9"/>
    <w:rsid w:val="00354887"/>
    <w:rsid w:val="00355788"/>
    <w:rsid w:val="00357FAC"/>
    <w:rsid w:val="00361092"/>
    <w:rsid w:val="00362986"/>
    <w:rsid w:val="00366C85"/>
    <w:rsid w:val="003719BA"/>
    <w:rsid w:val="003748A8"/>
    <w:rsid w:val="0037551B"/>
    <w:rsid w:val="003755FB"/>
    <w:rsid w:val="003766BF"/>
    <w:rsid w:val="00377F5A"/>
    <w:rsid w:val="00381340"/>
    <w:rsid w:val="00381662"/>
    <w:rsid w:val="0038349F"/>
    <w:rsid w:val="003834AA"/>
    <w:rsid w:val="00385CA5"/>
    <w:rsid w:val="00394265"/>
    <w:rsid w:val="00397A51"/>
    <w:rsid w:val="003A074C"/>
    <w:rsid w:val="003A0F14"/>
    <w:rsid w:val="003A727F"/>
    <w:rsid w:val="003B41C3"/>
    <w:rsid w:val="003C1CD4"/>
    <w:rsid w:val="003C4B04"/>
    <w:rsid w:val="003D2A49"/>
    <w:rsid w:val="003E46F3"/>
    <w:rsid w:val="003F06AA"/>
    <w:rsid w:val="003F7096"/>
    <w:rsid w:val="004037FD"/>
    <w:rsid w:val="00407DB5"/>
    <w:rsid w:val="00407E9C"/>
    <w:rsid w:val="00413B69"/>
    <w:rsid w:val="00414802"/>
    <w:rsid w:val="004358F1"/>
    <w:rsid w:val="00455DC0"/>
    <w:rsid w:val="00455DFC"/>
    <w:rsid w:val="00456855"/>
    <w:rsid w:val="0045704B"/>
    <w:rsid w:val="0046210A"/>
    <w:rsid w:val="004623A1"/>
    <w:rsid w:val="004632A7"/>
    <w:rsid w:val="00464D81"/>
    <w:rsid w:val="00467A00"/>
    <w:rsid w:val="004705E7"/>
    <w:rsid w:val="0047131D"/>
    <w:rsid w:val="00471551"/>
    <w:rsid w:val="00475894"/>
    <w:rsid w:val="00476AE0"/>
    <w:rsid w:val="00484245"/>
    <w:rsid w:val="00487E96"/>
    <w:rsid w:val="0049228A"/>
    <w:rsid w:val="0049451A"/>
    <w:rsid w:val="004969A4"/>
    <w:rsid w:val="00496BBC"/>
    <w:rsid w:val="00496D16"/>
    <w:rsid w:val="0049781B"/>
    <w:rsid w:val="004A6DA7"/>
    <w:rsid w:val="004A7AE8"/>
    <w:rsid w:val="004B1E82"/>
    <w:rsid w:val="004B45A5"/>
    <w:rsid w:val="004B6494"/>
    <w:rsid w:val="004B6666"/>
    <w:rsid w:val="004C0BB1"/>
    <w:rsid w:val="004C1111"/>
    <w:rsid w:val="004C1A11"/>
    <w:rsid w:val="004C47F3"/>
    <w:rsid w:val="004C4CC9"/>
    <w:rsid w:val="004C6572"/>
    <w:rsid w:val="004D0DEA"/>
    <w:rsid w:val="004D0F4D"/>
    <w:rsid w:val="004D315F"/>
    <w:rsid w:val="004E113A"/>
    <w:rsid w:val="004E5F7F"/>
    <w:rsid w:val="004E6B03"/>
    <w:rsid w:val="004E7C1E"/>
    <w:rsid w:val="004F12E8"/>
    <w:rsid w:val="004F153D"/>
    <w:rsid w:val="004F36E3"/>
    <w:rsid w:val="005002A4"/>
    <w:rsid w:val="005002EC"/>
    <w:rsid w:val="00502D88"/>
    <w:rsid w:val="005030A7"/>
    <w:rsid w:val="005030F8"/>
    <w:rsid w:val="00503698"/>
    <w:rsid w:val="00510AD5"/>
    <w:rsid w:val="00511563"/>
    <w:rsid w:val="0051484E"/>
    <w:rsid w:val="0051571B"/>
    <w:rsid w:val="005163B6"/>
    <w:rsid w:val="00516704"/>
    <w:rsid w:val="00516B39"/>
    <w:rsid w:val="005170AB"/>
    <w:rsid w:val="00522E7F"/>
    <w:rsid w:val="00526A8F"/>
    <w:rsid w:val="00526DDC"/>
    <w:rsid w:val="005312BD"/>
    <w:rsid w:val="00532C68"/>
    <w:rsid w:val="005336FA"/>
    <w:rsid w:val="00535302"/>
    <w:rsid w:val="0053617D"/>
    <w:rsid w:val="0053633F"/>
    <w:rsid w:val="005405C9"/>
    <w:rsid w:val="0054072E"/>
    <w:rsid w:val="00543A68"/>
    <w:rsid w:val="0054592F"/>
    <w:rsid w:val="005460A9"/>
    <w:rsid w:val="005479C0"/>
    <w:rsid w:val="00547FB4"/>
    <w:rsid w:val="00550662"/>
    <w:rsid w:val="00550899"/>
    <w:rsid w:val="005578D8"/>
    <w:rsid w:val="00560212"/>
    <w:rsid w:val="00560469"/>
    <w:rsid w:val="005628F7"/>
    <w:rsid w:val="005658ED"/>
    <w:rsid w:val="00565D08"/>
    <w:rsid w:val="00570A77"/>
    <w:rsid w:val="0057686E"/>
    <w:rsid w:val="00576AC3"/>
    <w:rsid w:val="005864C3"/>
    <w:rsid w:val="00586815"/>
    <w:rsid w:val="0058715C"/>
    <w:rsid w:val="00587624"/>
    <w:rsid w:val="00587BFB"/>
    <w:rsid w:val="0059158F"/>
    <w:rsid w:val="005927DD"/>
    <w:rsid w:val="0059532A"/>
    <w:rsid w:val="00595E1D"/>
    <w:rsid w:val="005A689D"/>
    <w:rsid w:val="005B1F77"/>
    <w:rsid w:val="005B514E"/>
    <w:rsid w:val="005B7CFF"/>
    <w:rsid w:val="005C00E4"/>
    <w:rsid w:val="005C2E83"/>
    <w:rsid w:val="005C655C"/>
    <w:rsid w:val="005C66D9"/>
    <w:rsid w:val="005D09A5"/>
    <w:rsid w:val="005D0A64"/>
    <w:rsid w:val="005D11C3"/>
    <w:rsid w:val="005D484F"/>
    <w:rsid w:val="005E34D7"/>
    <w:rsid w:val="005E411F"/>
    <w:rsid w:val="005E55AC"/>
    <w:rsid w:val="005E5AA1"/>
    <w:rsid w:val="005E6308"/>
    <w:rsid w:val="005E7627"/>
    <w:rsid w:val="005F1AE6"/>
    <w:rsid w:val="005F214E"/>
    <w:rsid w:val="005F5846"/>
    <w:rsid w:val="005F5A64"/>
    <w:rsid w:val="005F7483"/>
    <w:rsid w:val="00602496"/>
    <w:rsid w:val="006028A4"/>
    <w:rsid w:val="00606109"/>
    <w:rsid w:val="00610869"/>
    <w:rsid w:val="00612DD4"/>
    <w:rsid w:val="00614D62"/>
    <w:rsid w:val="00616A0D"/>
    <w:rsid w:val="006217E8"/>
    <w:rsid w:val="006255F6"/>
    <w:rsid w:val="006300B8"/>
    <w:rsid w:val="00630CE8"/>
    <w:rsid w:val="006340C7"/>
    <w:rsid w:val="00637AC0"/>
    <w:rsid w:val="00637B2E"/>
    <w:rsid w:val="00645396"/>
    <w:rsid w:val="0064655D"/>
    <w:rsid w:val="006507CB"/>
    <w:rsid w:val="00653853"/>
    <w:rsid w:val="006558CF"/>
    <w:rsid w:val="0065592C"/>
    <w:rsid w:val="00655A1D"/>
    <w:rsid w:val="00656018"/>
    <w:rsid w:val="00656631"/>
    <w:rsid w:val="00671E57"/>
    <w:rsid w:val="00672F60"/>
    <w:rsid w:val="006743F5"/>
    <w:rsid w:val="00675F79"/>
    <w:rsid w:val="00677DA6"/>
    <w:rsid w:val="00677F58"/>
    <w:rsid w:val="00680AC5"/>
    <w:rsid w:val="0068222F"/>
    <w:rsid w:val="006845D4"/>
    <w:rsid w:val="006855AF"/>
    <w:rsid w:val="006858CA"/>
    <w:rsid w:val="0069623E"/>
    <w:rsid w:val="006A2009"/>
    <w:rsid w:val="006A47A2"/>
    <w:rsid w:val="006B4983"/>
    <w:rsid w:val="006B50B3"/>
    <w:rsid w:val="006B552B"/>
    <w:rsid w:val="006B5EAB"/>
    <w:rsid w:val="006B71FB"/>
    <w:rsid w:val="006B761C"/>
    <w:rsid w:val="006C095A"/>
    <w:rsid w:val="006C3076"/>
    <w:rsid w:val="006C4118"/>
    <w:rsid w:val="006C56D8"/>
    <w:rsid w:val="006C65B0"/>
    <w:rsid w:val="006D5CBB"/>
    <w:rsid w:val="006D6349"/>
    <w:rsid w:val="006D6A8E"/>
    <w:rsid w:val="006E1AD8"/>
    <w:rsid w:val="006E24E0"/>
    <w:rsid w:val="006E26FD"/>
    <w:rsid w:val="006E3810"/>
    <w:rsid w:val="006E6096"/>
    <w:rsid w:val="006E6158"/>
    <w:rsid w:val="006F1FA5"/>
    <w:rsid w:val="006F7306"/>
    <w:rsid w:val="006F7615"/>
    <w:rsid w:val="00700F3C"/>
    <w:rsid w:val="007014F4"/>
    <w:rsid w:val="00701620"/>
    <w:rsid w:val="00715009"/>
    <w:rsid w:val="00716748"/>
    <w:rsid w:val="007178E4"/>
    <w:rsid w:val="00717996"/>
    <w:rsid w:val="00721F6A"/>
    <w:rsid w:val="0072294A"/>
    <w:rsid w:val="007230FB"/>
    <w:rsid w:val="0073008D"/>
    <w:rsid w:val="00731DBF"/>
    <w:rsid w:val="007330FD"/>
    <w:rsid w:val="00734E3A"/>
    <w:rsid w:val="00744EA4"/>
    <w:rsid w:val="0075200C"/>
    <w:rsid w:val="00754477"/>
    <w:rsid w:val="00754BE5"/>
    <w:rsid w:val="00756C4B"/>
    <w:rsid w:val="00757B4F"/>
    <w:rsid w:val="007600D0"/>
    <w:rsid w:val="00767987"/>
    <w:rsid w:val="0077156C"/>
    <w:rsid w:val="007725B6"/>
    <w:rsid w:val="00780E8C"/>
    <w:rsid w:val="00783C8F"/>
    <w:rsid w:val="0078479E"/>
    <w:rsid w:val="00785C5B"/>
    <w:rsid w:val="007871B5"/>
    <w:rsid w:val="00790A9E"/>
    <w:rsid w:val="007937F1"/>
    <w:rsid w:val="007950F6"/>
    <w:rsid w:val="00795981"/>
    <w:rsid w:val="007A132F"/>
    <w:rsid w:val="007A28E2"/>
    <w:rsid w:val="007A6907"/>
    <w:rsid w:val="007B5921"/>
    <w:rsid w:val="007B7BAF"/>
    <w:rsid w:val="007C1761"/>
    <w:rsid w:val="007C3F70"/>
    <w:rsid w:val="007C605C"/>
    <w:rsid w:val="007D72CD"/>
    <w:rsid w:val="007D7EF1"/>
    <w:rsid w:val="007E0AB5"/>
    <w:rsid w:val="007E129E"/>
    <w:rsid w:val="007E1E6A"/>
    <w:rsid w:val="007E3761"/>
    <w:rsid w:val="007E40B9"/>
    <w:rsid w:val="007E75EB"/>
    <w:rsid w:val="007F15E3"/>
    <w:rsid w:val="007F45B4"/>
    <w:rsid w:val="007F5192"/>
    <w:rsid w:val="007F578E"/>
    <w:rsid w:val="007F7FFC"/>
    <w:rsid w:val="008025FB"/>
    <w:rsid w:val="0080274B"/>
    <w:rsid w:val="008050B1"/>
    <w:rsid w:val="00805FA6"/>
    <w:rsid w:val="008101B7"/>
    <w:rsid w:val="0081109B"/>
    <w:rsid w:val="008152E5"/>
    <w:rsid w:val="00815795"/>
    <w:rsid w:val="00815F14"/>
    <w:rsid w:val="008314B2"/>
    <w:rsid w:val="00831FD5"/>
    <w:rsid w:val="008349EC"/>
    <w:rsid w:val="0083655C"/>
    <w:rsid w:val="00853E07"/>
    <w:rsid w:val="00854197"/>
    <w:rsid w:val="0086401E"/>
    <w:rsid w:val="0087028A"/>
    <w:rsid w:val="00872C57"/>
    <w:rsid w:val="008738F1"/>
    <w:rsid w:val="0087454D"/>
    <w:rsid w:val="00876747"/>
    <w:rsid w:val="0088022B"/>
    <w:rsid w:val="008824A1"/>
    <w:rsid w:val="0088458C"/>
    <w:rsid w:val="00892DCA"/>
    <w:rsid w:val="008930BF"/>
    <w:rsid w:val="00895EB0"/>
    <w:rsid w:val="008977FB"/>
    <w:rsid w:val="008A0FA3"/>
    <w:rsid w:val="008A1435"/>
    <w:rsid w:val="008A3FBA"/>
    <w:rsid w:val="008A561A"/>
    <w:rsid w:val="008A58E3"/>
    <w:rsid w:val="008A7AF5"/>
    <w:rsid w:val="008B4D4F"/>
    <w:rsid w:val="008B680E"/>
    <w:rsid w:val="008C4185"/>
    <w:rsid w:val="008C788A"/>
    <w:rsid w:val="008D0522"/>
    <w:rsid w:val="008D1223"/>
    <w:rsid w:val="008D2E2C"/>
    <w:rsid w:val="008D3B68"/>
    <w:rsid w:val="008D7D44"/>
    <w:rsid w:val="008D7F97"/>
    <w:rsid w:val="008E223A"/>
    <w:rsid w:val="008F0883"/>
    <w:rsid w:val="008F0A17"/>
    <w:rsid w:val="008F45C8"/>
    <w:rsid w:val="00900FEA"/>
    <w:rsid w:val="00902A32"/>
    <w:rsid w:val="00903F3F"/>
    <w:rsid w:val="00905F22"/>
    <w:rsid w:val="009076C9"/>
    <w:rsid w:val="00911F8C"/>
    <w:rsid w:val="00912377"/>
    <w:rsid w:val="00915BCF"/>
    <w:rsid w:val="0091618A"/>
    <w:rsid w:val="00917476"/>
    <w:rsid w:val="009270B6"/>
    <w:rsid w:val="00927F99"/>
    <w:rsid w:val="009343BD"/>
    <w:rsid w:val="00934FC0"/>
    <w:rsid w:val="00935367"/>
    <w:rsid w:val="00935BFA"/>
    <w:rsid w:val="00936C28"/>
    <w:rsid w:val="00947AFB"/>
    <w:rsid w:val="00947F00"/>
    <w:rsid w:val="00950DC3"/>
    <w:rsid w:val="00952D09"/>
    <w:rsid w:val="0095339D"/>
    <w:rsid w:val="00960C59"/>
    <w:rsid w:val="0096691F"/>
    <w:rsid w:val="00971E79"/>
    <w:rsid w:val="00973823"/>
    <w:rsid w:val="00973C71"/>
    <w:rsid w:val="00977001"/>
    <w:rsid w:val="0097737B"/>
    <w:rsid w:val="00980EA1"/>
    <w:rsid w:val="00983F14"/>
    <w:rsid w:val="00984654"/>
    <w:rsid w:val="009848C0"/>
    <w:rsid w:val="0098546A"/>
    <w:rsid w:val="009855F5"/>
    <w:rsid w:val="009915EB"/>
    <w:rsid w:val="00992601"/>
    <w:rsid w:val="0099700A"/>
    <w:rsid w:val="009A06B9"/>
    <w:rsid w:val="009A5C1D"/>
    <w:rsid w:val="009A7121"/>
    <w:rsid w:val="009B2D17"/>
    <w:rsid w:val="009B3F8D"/>
    <w:rsid w:val="009B5119"/>
    <w:rsid w:val="009B7C02"/>
    <w:rsid w:val="009C0182"/>
    <w:rsid w:val="009C04E7"/>
    <w:rsid w:val="009C0C18"/>
    <w:rsid w:val="009C1003"/>
    <w:rsid w:val="009C1876"/>
    <w:rsid w:val="009C462B"/>
    <w:rsid w:val="009C49B2"/>
    <w:rsid w:val="009C6DDB"/>
    <w:rsid w:val="009C76E5"/>
    <w:rsid w:val="009D0D7B"/>
    <w:rsid w:val="009D563E"/>
    <w:rsid w:val="009E3572"/>
    <w:rsid w:val="009E6134"/>
    <w:rsid w:val="009F0CCF"/>
    <w:rsid w:val="009F2BE6"/>
    <w:rsid w:val="009F4120"/>
    <w:rsid w:val="009F5430"/>
    <w:rsid w:val="009F64A9"/>
    <w:rsid w:val="00A00B07"/>
    <w:rsid w:val="00A05485"/>
    <w:rsid w:val="00A109BA"/>
    <w:rsid w:val="00A1184E"/>
    <w:rsid w:val="00A20928"/>
    <w:rsid w:val="00A23109"/>
    <w:rsid w:val="00A24DD9"/>
    <w:rsid w:val="00A27ACF"/>
    <w:rsid w:val="00A300C6"/>
    <w:rsid w:val="00A30E92"/>
    <w:rsid w:val="00A32216"/>
    <w:rsid w:val="00A33517"/>
    <w:rsid w:val="00A3527E"/>
    <w:rsid w:val="00A361D8"/>
    <w:rsid w:val="00A378FD"/>
    <w:rsid w:val="00A4018C"/>
    <w:rsid w:val="00A40574"/>
    <w:rsid w:val="00A56260"/>
    <w:rsid w:val="00A568B4"/>
    <w:rsid w:val="00A61665"/>
    <w:rsid w:val="00A6250B"/>
    <w:rsid w:val="00A65373"/>
    <w:rsid w:val="00A669EB"/>
    <w:rsid w:val="00A67D7F"/>
    <w:rsid w:val="00A71180"/>
    <w:rsid w:val="00A8372D"/>
    <w:rsid w:val="00A963DC"/>
    <w:rsid w:val="00A96F8B"/>
    <w:rsid w:val="00AA12B6"/>
    <w:rsid w:val="00AA2BFB"/>
    <w:rsid w:val="00AA7301"/>
    <w:rsid w:val="00AA735F"/>
    <w:rsid w:val="00AB2B15"/>
    <w:rsid w:val="00AB72A2"/>
    <w:rsid w:val="00AB77BD"/>
    <w:rsid w:val="00AC2217"/>
    <w:rsid w:val="00AC3B4F"/>
    <w:rsid w:val="00AC513A"/>
    <w:rsid w:val="00AC571C"/>
    <w:rsid w:val="00AC5F60"/>
    <w:rsid w:val="00AD1BD0"/>
    <w:rsid w:val="00AD26FF"/>
    <w:rsid w:val="00AD3C33"/>
    <w:rsid w:val="00AD5531"/>
    <w:rsid w:val="00AD6EDA"/>
    <w:rsid w:val="00AF11BE"/>
    <w:rsid w:val="00AF1396"/>
    <w:rsid w:val="00B021F0"/>
    <w:rsid w:val="00B0502A"/>
    <w:rsid w:val="00B061C0"/>
    <w:rsid w:val="00B0620E"/>
    <w:rsid w:val="00B06645"/>
    <w:rsid w:val="00B06FD1"/>
    <w:rsid w:val="00B113BA"/>
    <w:rsid w:val="00B120F3"/>
    <w:rsid w:val="00B15995"/>
    <w:rsid w:val="00B15F13"/>
    <w:rsid w:val="00B17F35"/>
    <w:rsid w:val="00B21385"/>
    <w:rsid w:val="00B2245E"/>
    <w:rsid w:val="00B2770F"/>
    <w:rsid w:val="00B31E22"/>
    <w:rsid w:val="00B33143"/>
    <w:rsid w:val="00B41629"/>
    <w:rsid w:val="00B4173D"/>
    <w:rsid w:val="00B41BF4"/>
    <w:rsid w:val="00B4240C"/>
    <w:rsid w:val="00B44490"/>
    <w:rsid w:val="00B478D0"/>
    <w:rsid w:val="00B514B5"/>
    <w:rsid w:val="00B5253E"/>
    <w:rsid w:val="00B53B6E"/>
    <w:rsid w:val="00B601E5"/>
    <w:rsid w:val="00B62186"/>
    <w:rsid w:val="00B7159A"/>
    <w:rsid w:val="00B7163C"/>
    <w:rsid w:val="00B7368B"/>
    <w:rsid w:val="00B75CB1"/>
    <w:rsid w:val="00B768C0"/>
    <w:rsid w:val="00B81592"/>
    <w:rsid w:val="00B81D07"/>
    <w:rsid w:val="00B84175"/>
    <w:rsid w:val="00B87EAE"/>
    <w:rsid w:val="00B906C2"/>
    <w:rsid w:val="00B916DF"/>
    <w:rsid w:val="00B929D9"/>
    <w:rsid w:val="00B936E7"/>
    <w:rsid w:val="00B94FFC"/>
    <w:rsid w:val="00BA4319"/>
    <w:rsid w:val="00BB24C2"/>
    <w:rsid w:val="00BB2B12"/>
    <w:rsid w:val="00BB348D"/>
    <w:rsid w:val="00BC22FF"/>
    <w:rsid w:val="00BD1D61"/>
    <w:rsid w:val="00BD5405"/>
    <w:rsid w:val="00BD63ED"/>
    <w:rsid w:val="00BD7230"/>
    <w:rsid w:val="00BD7E01"/>
    <w:rsid w:val="00BE41AA"/>
    <w:rsid w:val="00BE4E47"/>
    <w:rsid w:val="00BF17F9"/>
    <w:rsid w:val="00BF1F8F"/>
    <w:rsid w:val="00C04720"/>
    <w:rsid w:val="00C05893"/>
    <w:rsid w:val="00C07567"/>
    <w:rsid w:val="00C07FCC"/>
    <w:rsid w:val="00C13460"/>
    <w:rsid w:val="00C15372"/>
    <w:rsid w:val="00C2135F"/>
    <w:rsid w:val="00C22433"/>
    <w:rsid w:val="00C2310E"/>
    <w:rsid w:val="00C25103"/>
    <w:rsid w:val="00C33A65"/>
    <w:rsid w:val="00C36163"/>
    <w:rsid w:val="00C366DA"/>
    <w:rsid w:val="00C41E32"/>
    <w:rsid w:val="00C542FF"/>
    <w:rsid w:val="00C56530"/>
    <w:rsid w:val="00C615FC"/>
    <w:rsid w:val="00C61600"/>
    <w:rsid w:val="00C63B0E"/>
    <w:rsid w:val="00C652DF"/>
    <w:rsid w:val="00C65C55"/>
    <w:rsid w:val="00C6636F"/>
    <w:rsid w:val="00C70BE6"/>
    <w:rsid w:val="00C717AB"/>
    <w:rsid w:val="00C7331E"/>
    <w:rsid w:val="00C73A13"/>
    <w:rsid w:val="00C7727A"/>
    <w:rsid w:val="00C77D6E"/>
    <w:rsid w:val="00C8042C"/>
    <w:rsid w:val="00C8168E"/>
    <w:rsid w:val="00C83622"/>
    <w:rsid w:val="00C85AAF"/>
    <w:rsid w:val="00C861AE"/>
    <w:rsid w:val="00C86C43"/>
    <w:rsid w:val="00C9012B"/>
    <w:rsid w:val="00C94501"/>
    <w:rsid w:val="00C954B1"/>
    <w:rsid w:val="00CA266B"/>
    <w:rsid w:val="00CA58B2"/>
    <w:rsid w:val="00CA7545"/>
    <w:rsid w:val="00CB3E05"/>
    <w:rsid w:val="00CB6FA8"/>
    <w:rsid w:val="00CC0F37"/>
    <w:rsid w:val="00CC1F12"/>
    <w:rsid w:val="00CC3320"/>
    <w:rsid w:val="00CC5345"/>
    <w:rsid w:val="00CC627D"/>
    <w:rsid w:val="00CC79C7"/>
    <w:rsid w:val="00CD1FEC"/>
    <w:rsid w:val="00CD41DB"/>
    <w:rsid w:val="00CD54DC"/>
    <w:rsid w:val="00CD6FE0"/>
    <w:rsid w:val="00CE293C"/>
    <w:rsid w:val="00CE2978"/>
    <w:rsid w:val="00CE3700"/>
    <w:rsid w:val="00CE3B32"/>
    <w:rsid w:val="00CE6428"/>
    <w:rsid w:val="00CF0893"/>
    <w:rsid w:val="00CF1D02"/>
    <w:rsid w:val="00CF4FCD"/>
    <w:rsid w:val="00CF528A"/>
    <w:rsid w:val="00CF5A55"/>
    <w:rsid w:val="00D00782"/>
    <w:rsid w:val="00D06A7E"/>
    <w:rsid w:val="00D10ED3"/>
    <w:rsid w:val="00D12D9B"/>
    <w:rsid w:val="00D17A08"/>
    <w:rsid w:val="00D202B6"/>
    <w:rsid w:val="00D2051C"/>
    <w:rsid w:val="00D2143C"/>
    <w:rsid w:val="00D238E8"/>
    <w:rsid w:val="00D31065"/>
    <w:rsid w:val="00D42FA9"/>
    <w:rsid w:val="00D469B1"/>
    <w:rsid w:val="00D51FD2"/>
    <w:rsid w:val="00D57899"/>
    <w:rsid w:val="00D6154F"/>
    <w:rsid w:val="00D62FA2"/>
    <w:rsid w:val="00D63DE5"/>
    <w:rsid w:val="00D64DD6"/>
    <w:rsid w:val="00D6567E"/>
    <w:rsid w:val="00D6581C"/>
    <w:rsid w:val="00D67F55"/>
    <w:rsid w:val="00D73A5E"/>
    <w:rsid w:val="00D73C2E"/>
    <w:rsid w:val="00D75798"/>
    <w:rsid w:val="00D77045"/>
    <w:rsid w:val="00D77A2B"/>
    <w:rsid w:val="00D816B4"/>
    <w:rsid w:val="00D81D59"/>
    <w:rsid w:val="00D84631"/>
    <w:rsid w:val="00D85EB8"/>
    <w:rsid w:val="00D8786D"/>
    <w:rsid w:val="00D90D59"/>
    <w:rsid w:val="00D93432"/>
    <w:rsid w:val="00D95190"/>
    <w:rsid w:val="00D97794"/>
    <w:rsid w:val="00D97AEF"/>
    <w:rsid w:val="00DA308D"/>
    <w:rsid w:val="00DA3531"/>
    <w:rsid w:val="00DB073E"/>
    <w:rsid w:val="00DB1D02"/>
    <w:rsid w:val="00DB29A7"/>
    <w:rsid w:val="00DB35F1"/>
    <w:rsid w:val="00DB6E80"/>
    <w:rsid w:val="00DB75C3"/>
    <w:rsid w:val="00DC370E"/>
    <w:rsid w:val="00DC3E3C"/>
    <w:rsid w:val="00DD3249"/>
    <w:rsid w:val="00DE04DC"/>
    <w:rsid w:val="00DE18E7"/>
    <w:rsid w:val="00DE3EB5"/>
    <w:rsid w:val="00DE597F"/>
    <w:rsid w:val="00DE72AB"/>
    <w:rsid w:val="00DF01A7"/>
    <w:rsid w:val="00E008A6"/>
    <w:rsid w:val="00E0363C"/>
    <w:rsid w:val="00E04726"/>
    <w:rsid w:val="00E063D0"/>
    <w:rsid w:val="00E07955"/>
    <w:rsid w:val="00E07B9C"/>
    <w:rsid w:val="00E12810"/>
    <w:rsid w:val="00E17220"/>
    <w:rsid w:val="00E23EFA"/>
    <w:rsid w:val="00E25E6D"/>
    <w:rsid w:val="00E26E37"/>
    <w:rsid w:val="00E27527"/>
    <w:rsid w:val="00E276A0"/>
    <w:rsid w:val="00E27D02"/>
    <w:rsid w:val="00E32111"/>
    <w:rsid w:val="00E33AEA"/>
    <w:rsid w:val="00E35227"/>
    <w:rsid w:val="00E43B68"/>
    <w:rsid w:val="00E45EC5"/>
    <w:rsid w:val="00E46994"/>
    <w:rsid w:val="00E47350"/>
    <w:rsid w:val="00E52216"/>
    <w:rsid w:val="00E554F7"/>
    <w:rsid w:val="00E55897"/>
    <w:rsid w:val="00E568D8"/>
    <w:rsid w:val="00E574D7"/>
    <w:rsid w:val="00E60454"/>
    <w:rsid w:val="00E61784"/>
    <w:rsid w:val="00E6479E"/>
    <w:rsid w:val="00E77053"/>
    <w:rsid w:val="00E83E3E"/>
    <w:rsid w:val="00E86DFA"/>
    <w:rsid w:val="00E932C0"/>
    <w:rsid w:val="00E95200"/>
    <w:rsid w:val="00E973D6"/>
    <w:rsid w:val="00EA6989"/>
    <w:rsid w:val="00EB34A9"/>
    <w:rsid w:val="00EB4CFE"/>
    <w:rsid w:val="00EB58A7"/>
    <w:rsid w:val="00EB799E"/>
    <w:rsid w:val="00EC54D5"/>
    <w:rsid w:val="00EC5B69"/>
    <w:rsid w:val="00ED1F31"/>
    <w:rsid w:val="00ED3A09"/>
    <w:rsid w:val="00ED71CC"/>
    <w:rsid w:val="00ED7A11"/>
    <w:rsid w:val="00EE2C9E"/>
    <w:rsid w:val="00EE2E6B"/>
    <w:rsid w:val="00EE407C"/>
    <w:rsid w:val="00EE6B36"/>
    <w:rsid w:val="00EE7842"/>
    <w:rsid w:val="00EF0DC1"/>
    <w:rsid w:val="00EF1458"/>
    <w:rsid w:val="00F0013E"/>
    <w:rsid w:val="00F0460C"/>
    <w:rsid w:val="00F05F49"/>
    <w:rsid w:val="00F0767F"/>
    <w:rsid w:val="00F120EF"/>
    <w:rsid w:val="00F127F3"/>
    <w:rsid w:val="00F1700F"/>
    <w:rsid w:val="00F213D0"/>
    <w:rsid w:val="00F21B6A"/>
    <w:rsid w:val="00F220BD"/>
    <w:rsid w:val="00F25B38"/>
    <w:rsid w:val="00F264DA"/>
    <w:rsid w:val="00F320F9"/>
    <w:rsid w:val="00F3399E"/>
    <w:rsid w:val="00F41053"/>
    <w:rsid w:val="00F41273"/>
    <w:rsid w:val="00F42836"/>
    <w:rsid w:val="00F4411C"/>
    <w:rsid w:val="00F46C9F"/>
    <w:rsid w:val="00F4774B"/>
    <w:rsid w:val="00F51487"/>
    <w:rsid w:val="00F51630"/>
    <w:rsid w:val="00F575FC"/>
    <w:rsid w:val="00F646A7"/>
    <w:rsid w:val="00F65306"/>
    <w:rsid w:val="00F655C1"/>
    <w:rsid w:val="00F66CE3"/>
    <w:rsid w:val="00F73969"/>
    <w:rsid w:val="00F7564B"/>
    <w:rsid w:val="00F75B98"/>
    <w:rsid w:val="00F803E1"/>
    <w:rsid w:val="00F83F8E"/>
    <w:rsid w:val="00F852EF"/>
    <w:rsid w:val="00F867AF"/>
    <w:rsid w:val="00F8748F"/>
    <w:rsid w:val="00F87B88"/>
    <w:rsid w:val="00F9319E"/>
    <w:rsid w:val="00F967F7"/>
    <w:rsid w:val="00F97506"/>
    <w:rsid w:val="00FA0E52"/>
    <w:rsid w:val="00FA1188"/>
    <w:rsid w:val="00FA6CB4"/>
    <w:rsid w:val="00FB1F75"/>
    <w:rsid w:val="00FB70D4"/>
    <w:rsid w:val="00FC1B9D"/>
    <w:rsid w:val="00FC4E7C"/>
    <w:rsid w:val="00FC5DAD"/>
    <w:rsid w:val="00FC6A9D"/>
    <w:rsid w:val="00FC6E47"/>
    <w:rsid w:val="00FD3272"/>
    <w:rsid w:val="00FD38B5"/>
    <w:rsid w:val="00FD57F1"/>
    <w:rsid w:val="00FE17D8"/>
    <w:rsid w:val="00FE188D"/>
    <w:rsid w:val="00FE4474"/>
    <w:rsid w:val="00FE4FBC"/>
    <w:rsid w:val="00FE5CF9"/>
    <w:rsid w:val="00FF1323"/>
    <w:rsid w:val="00FF2D51"/>
    <w:rsid w:val="00FF3396"/>
    <w:rsid w:val="00FF5176"/>
    <w:rsid w:val="00FF5993"/>
    <w:rsid w:val="00FF7374"/>
  </w:rsids>
  <m:mathPr>
    <m:mathFont m:val="Cambria Math"/>
    <m:brkBin m:val="before"/>
    <m:brkBinSub m:val="--"/>
    <m:smallFrac/>
    <m:dispDef/>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1B15F2"/>
  <w15:docId w15:val="{A38B706F-A51E-4B54-A4F0-CB287E21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0D4"/>
    <w:rPr>
      <w:lang w:val="es-ES_tradnl"/>
    </w:rPr>
  </w:style>
  <w:style w:type="paragraph" w:styleId="Ttulo1">
    <w:name w:val="heading 1"/>
    <w:basedOn w:val="Normal"/>
    <w:next w:val="Normal"/>
    <w:link w:val="Ttulo1Car"/>
    <w:uiPriority w:val="9"/>
    <w:qFormat/>
    <w:rsid w:val="00A56260"/>
    <w:pPr>
      <w:pBdr>
        <w:top w:val="single" w:sz="24" w:space="0" w:color="1F497D" w:themeColor="text2"/>
        <w:left w:val="single" w:sz="24" w:space="0" w:color="1F497D" w:themeColor="text2"/>
        <w:bottom w:val="single" w:sz="24" w:space="0" w:color="1F497D" w:themeColor="text2"/>
        <w:right w:val="single" w:sz="24" w:space="0" w:color="1F497D" w:themeColor="text2"/>
      </w:pBdr>
      <w:shd w:val="clear" w:color="auto" w:fill="1F497D" w:themeFill="text2"/>
      <w:spacing w:before="120" w:after="0" w:line="264" w:lineRule="auto"/>
      <w:outlineLvl w:val="0"/>
    </w:pPr>
    <w:rPr>
      <w:rFonts w:asciiTheme="majorHAnsi" w:eastAsiaTheme="majorEastAsia" w:hAnsiTheme="majorHAnsi" w:cstheme="majorBidi"/>
      <w:caps/>
      <w:color w:val="FFFFFF" w:themeColor="background1"/>
      <w:spacing w:val="15"/>
      <w:sz w:val="22"/>
      <w:szCs w:val="22"/>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786D"/>
    <w:pPr>
      <w:ind w:left="720"/>
      <w:contextualSpacing/>
    </w:pPr>
  </w:style>
  <w:style w:type="paragraph" w:styleId="Textonotapie">
    <w:name w:val="footnote text"/>
    <w:basedOn w:val="Normal"/>
    <w:link w:val="TextonotapieCar"/>
    <w:uiPriority w:val="99"/>
    <w:unhideWhenUsed/>
    <w:rsid w:val="00D8786D"/>
    <w:pPr>
      <w:spacing w:after="0"/>
    </w:pPr>
  </w:style>
  <w:style w:type="character" w:customStyle="1" w:styleId="TextonotapieCar">
    <w:name w:val="Texto nota pie Car"/>
    <w:basedOn w:val="Fuentedeprrafopredeter"/>
    <w:link w:val="Textonotapie"/>
    <w:uiPriority w:val="99"/>
    <w:rsid w:val="00D8786D"/>
    <w:rPr>
      <w:lang w:val="es-ES_tradnl"/>
    </w:rPr>
  </w:style>
  <w:style w:type="character" w:styleId="Refdenotaalpie">
    <w:name w:val="footnote reference"/>
    <w:basedOn w:val="Fuentedeprrafopredeter"/>
    <w:uiPriority w:val="99"/>
    <w:unhideWhenUsed/>
    <w:rsid w:val="00D8786D"/>
    <w:rPr>
      <w:vertAlign w:val="superscript"/>
    </w:rPr>
  </w:style>
  <w:style w:type="paragraph" w:styleId="Textodeglobo">
    <w:name w:val="Balloon Text"/>
    <w:basedOn w:val="Normal"/>
    <w:link w:val="TextodegloboCar"/>
    <w:rsid w:val="00757B4F"/>
    <w:pPr>
      <w:spacing w:after="0"/>
    </w:pPr>
    <w:rPr>
      <w:rFonts w:ascii="Tahoma" w:hAnsi="Tahoma" w:cs="Tahoma"/>
      <w:sz w:val="16"/>
      <w:szCs w:val="16"/>
    </w:rPr>
  </w:style>
  <w:style w:type="character" w:customStyle="1" w:styleId="TextodegloboCar">
    <w:name w:val="Texto de globo Car"/>
    <w:basedOn w:val="Fuentedeprrafopredeter"/>
    <w:link w:val="Textodeglobo"/>
    <w:rsid w:val="00757B4F"/>
    <w:rPr>
      <w:rFonts w:ascii="Tahoma" w:hAnsi="Tahoma" w:cs="Tahoma"/>
      <w:sz w:val="16"/>
      <w:szCs w:val="16"/>
      <w:lang w:val="es-ES_tradnl"/>
    </w:rPr>
  </w:style>
  <w:style w:type="paragraph" w:styleId="Encabezado">
    <w:name w:val="header"/>
    <w:basedOn w:val="Normal"/>
    <w:link w:val="EncabezadoCar"/>
    <w:rsid w:val="002F2D20"/>
    <w:pPr>
      <w:tabs>
        <w:tab w:val="center" w:pos="4680"/>
        <w:tab w:val="right" w:pos="9360"/>
      </w:tabs>
      <w:spacing w:after="0"/>
    </w:pPr>
  </w:style>
  <w:style w:type="character" w:customStyle="1" w:styleId="EncabezadoCar">
    <w:name w:val="Encabezado Car"/>
    <w:basedOn w:val="Fuentedeprrafopredeter"/>
    <w:link w:val="Encabezado"/>
    <w:rsid w:val="002F2D20"/>
    <w:rPr>
      <w:lang w:val="es-ES_tradnl"/>
    </w:rPr>
  </w:style>
  <w:style w:type="paragraph" w:styleId="Piedepgina">
    <w:name w:val="footer"/>
    <w:basedOn w:val="Normal"/>
    <w:link w:val="PiedepginaCar"/>
    <w:uiPriority w:val="99"/>
    <w:rsid w:val="002F2D20"/>
    <w:pPr>
      <w:tabs>
        <w:tab w:val="center" w:pos="4680"/>
        <w:tab w:val="right" w:pos="9360"/>
      </w:tabs>
      <w:spacing w:after="0"/>
    </w:pPr>
  </w:style>
  <w:style w:type="character" w:customStyle="1" w:styleId="PiedepginaCar">
    <w:name w:val="Pie de página Car"/>
    <w:basedOn w:val="Fuentedeprrafopredeter"/>
    <w:link w:val="Piedepgina"/>
    <w:uiPriority w:val="99"/>
    <w:rsid w:val="002F2D20"/>
    <w:rPr>
      <w:lang w:val="es-ES_tradnl"/>
    </w:rPr>
  </w:style>
  <w:style w:type="character" w:styleId="Textodelmarcadordeposicin">
    <w:name w:val="Placeholder Text"/>
    <w:basedOn w:val="Fuentedeprrafopredeter"/>
    <w:rsid w:val="007E40B9"/>
    <w:rPr>
      <w:color w:val="808080"/>
    </w:rPr>
  </w:style>
  <w:style w:type="paragraph" w:styleId="NormalWeb">
    <w:name w:val="Normal (Web)"/>
    <w:basedOn w:val="Normal"/>
    <w:uiPriority w:val="99"/>
    <w:unhideWhenUsed/>
    <w:rsid w:val="00E95200"/>
    <w:pPr>
      <w:spacing w:before="100" w:beforeAutospacing="1" w:after="100" w:afterAutospacing="1"/>
    </w:pPr>
    <w:rPr>
      <w:rFonts w:ascii="Times New Roman" w:eastAsia="Times New Roman" w:hAnsi="Times New Roman" w:cs="Times New Roman"/>
      <w:lang w:val="es-CO" w:eastAsia="es-CO"/>
    </w:rPr>
  </w:style>
  <w:style w:type="character" w:styleId="Refdecomentario">
    <w:name w:val="annotation reference"/>
    <w:basedOn w:val="Fuentedeprrafopredeter"/>
    <w:semiHidden/>
    <w:unhideWhenUsed/>
    <w:rsid w:val="002C4CB1"/>
    <w:rPr>
      <w:sz w:val="18"/>
      <w:szCs w:val="18"/>
    </w:rPr>
  </w:style>
  <w:style w:type="paragraph" w:styleId="Textocomentario">
    <w:name w:val="annotation text"/>
    <w:basedOn w:val="Normal"/>
    <w:link w:val="TextocomentarioCar"/>
    <w:semiHidden/>
    <w:unhideWhenUsed/>
    <w:rsid w:val="002C4CB1"/>
  </w:style>
  <w:style w:type="character" w:customStyle="1" w:styleId="TextocomentarioCar">
    <w:name w:val="Texto comentario Car"/>
    <w:basedOn w:val="Fuentedeprrafopredeter"/>
    <w:link w:val="Textocomentario"/>
    <w:semiHidden/>
    <w:rsid w:val="002C4CB1"/>
    <w:rPr>
      <w:lang w:val="es-ES_tradnl"/>
    </w:rPr>
  </w:style>
  <w:style w:type="paragraph" w:styleId="Asuntodelcomentario">
    <w:name w:val="annotation subject"/>
    <w:basedOn w:val="Textocomentario"/>
    <w:next w:val="Textocomentario"/>
    <w:link w:val="AsuntodelcomentarioCar"/>
    <w:semiHidden/>
    <w:unhideWhenUsed/>
    <w:rsid w:val="002C4CB1"/>
    <w:rPr>
      <w:b/>
      <w:bCs/>
      <w:sz w:val="20"/>
      <w:szCs w:val="20"/>
    </w:rPr>
  </w:style>
  <w:style w:type="character" w:customStyle="1" w:styleId="AsuntodelcomentarioCar">
    <w:name w:val="Asunto del comentario Car"/>
    <w:basedOn w:val="TextocomentarioCar"/>
    <w:link w:val="Asuntodelcomentario"/>
    <w:semiHidden/>
    <w:rsid w:val="002C4CB1"/>
    <w:rPr>
      <w:b/>
      <w:bCs/>
      <w:sz w:val="20"/>
      <w:szCs w:val="20"/>
      <w:lang w:val="es-ES_tradnl"/>
    </w:rPr>
  </w:style>
  <w:style w:type="paragraph" w:styleId="Revisin">
    <w:name w:val="Revision"/>
    <w:hidden/>
    <w:semiHidden/>
    <w:rsid w:val="00D10ED3"/>
    <w:pPr>
      <w:spacing w:after="0"/>
    </w:pPr>
    <w:rPr>
      <w:lang w:val="es-ES_tradnl"/>
    </w:rPr>
  </w:style>
  <w:style w:type="paragraph" w:styleId="Textonotaalfinal">
    <w:name w:val="endnote text"/>
    <w:basedOn w:val="Normal"/>
    <w:link w:val="TextonotaalfinalCar"/>
    <w:semiHidden/>
    <w:unhideWhenUsed/>
    <w:rsid w:val="00326984"/>
    <w:pPr>
      <w:spacing w:after="0"/>
    </w:pPr>
    <w:rPr>
      <w:sz w:val="20"/>
      <w:szCs w:val="20"/>
    </w:rPr>
  </w:style>
  <w:style w:type="character" w:customStyle="1" w:styleId="TextonotaalfinalCar">
    <w:name w:val="Texto nota al final Car"/>
    <w:basedOn w:val="Fuentedeprrafopredeter"/>
    <w:link w:val="Textonotaalfinal"/>
    <w:semiHidden/>
    <w:rsid w:val="00326984"/>
    <w:rPr>
      <w:sz w:val="20"/>
      <w:szCs w:val="20"/>
      <w:lang w:val="es-ES_tradnl"/>
    </w:rPr>
  </w:style>
  <w:style w:type="character" w:styleId="Refdenotaalfinal">
    <w:name w:val="endnote reference"/>
    <w:basedOn w:val="Fuentedeprrafopredeter"/>
    <w:semiHidden/>
    <w:unhideWhenUsed/>
    <w:rsid w:val="00326984"/>
    <w:rPr>
      <w:vertAlign w:val="superscript"/>
    </w:rPr>
  </w:style>
  <w:style w:type="table" w:styleId="Tablaconcuadrcula">
    <w:name w:val="Table Grid"/>
    <w:basedOn w:val="Tablanormal"/>
    <w:uiPriority w:val="39"/>
    <w:rsid w:val="004E5F7F"/>
    <w:pPr>
      <w:spacing w:after="0"/>
    </w:pPr>
    <w:rPr>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1AD8"/>
    <w:pPr>
      <w:autoSpaceDE w:val="0"/>
      <w:autoSpaceDN w:val="0"/>
      <w:adjustRightInd w:val="0"/>
      <w:spacing w:after="0"/>
    </w:pPr>
    <w:rPr>
      <w:rFonts w:ascii="Myriad Pro" w:hAnsi="Myriad Pro" w:cs="Myriad Pro"/>
      <w:color w:val="000000"/>
      <w:lang w:val="es-CO"/>
    </w:rPr>
  </w:style>
  <w:style w:type="character" w:styleId="Hipervnculo">
    <w:name w:val="Hyperlink"/>
    <w:basedOn w:val="Fuentedeprrafopredeter"/>
    <w:uiPriority w:val="99"/>
    <w:unhideWhenUsed/>
    <w:rsid w:val="006E1AD8"/>
    <w:rPr>
      <w:color w:val="0000FF" w:themeColor="hyperlink"/>
      <w:u w:val="single"/>
    </w:rPr>
  </w:style>
  <w:style w:type="character" w:customStyle="1" w:styleId="Ttulo1Car">
    <w:name w:val="Título 1 Car"/>
    <w:basedOn w:val="Fuentedeprrafopredeter"/>
    <w:link w:val="Ttulo1"/>
    <w:uiPriority w:val="9"/>
    <w:rsid w:val="00A56260"/>
    <w:rPr>
      <w:rFonts w:asciiTheme="majorHAnsi" w:eastAsiaTheme="majorEastAsia" w:hAnsiTheme="majorHAnsi" w:cstheme="majorBidi"/>
      <w:caps/>
      <w:color w:val="FFFFFF" w:themeColor="background1"/>
      <w:spacing w:val="15"/>
      <w:sz w:val="22"/>
      <w:szCs w:val="22"/>
      <w:shd w:val="clear" w:color="auto" w:fill="1F497D" w:themeFill="text2"/>
      <w:lang w:eastAsia="ja-JP"/>
    </w:rPr>
  </w:style>
  <w:style w:type="paragraph" w:customStyle="1" w:styleId="Prrafodelista1">
    <w:name w:val="Párrafo de lista1"/>
    <w:basedOn w:val="Normal"/>
    <w:qFormat/>
    <w:rsid w:val="00F73969"/>
    <w:pPr>
      <w:spacing w:line="276" w:lineRule="auto"/>
      <w:ind w:left="720"/>
      <w:contextualSpacing/>
    </w:pPr>
    <w:rPr>
      <w:rFonts w:ascii="Calibri" w:eastAsia="Times New Roman" w:hAnsi="Calibri" w:cs="Times New Roman"/>
      <w:noProof/>
      <w:color w:val="000000"/>
      <w:lang w:val="es-CO"/>
    </w:rPr>
  </w:style>
  <w:style w:type="paragraph" w:styleId="Descripcin">
    <w:name w:val="caption"/>
    <w:basedOn w:val="Normal"/>
    <w:next w:val="Normal"/>
    <w:unhideWhenUsed/>
    <w:rsid w:val="0031102C"/>
    <w:rPr>
      <w:i/>
      <w:iCs/>
      <w:color w:val="1F497D" w:themeColor="text2"/>
      <w:sz w:val="18"/>
      <w:szCs w:val="18"/>
    </w:rPr>
  </w:style>
  <w:style w:type="table" w:customStyle="1" w:styleId="Tablaconcuadrcula1">
    <w:name w:val="Tabla con cuadrícula1"/>
    <w:basedOn w:val="Tablanormal"/>
    <w:next w:val="Tablaconcuadrcula"/>
    <w:uiPriority w:val="39"/>
    <w:rsid w:val="00C65C55"/>
    <w:pPr>
      <w:spacing w:after="0"/>
    </w:pPr>
    <w:rPr>
      <w:rFonts w:ascii="Cambria" w:eastAsia="Cambria" w:hAnsi="Cambria"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7C3F70"/>
    <w:pPr>
      <w:spacing w:after="0"/>
    </w:pPr>
    <w:rPr>
      <w:rFonts w:ascii="Cambria" w:eastAsia="Cambria" w:hAnsi="Cambria"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AC513A"/>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link w:val="SinespaciadoCar"/>
    <w:uiPriority w:val="1"/>
    <w:qFormat/>
    <w:rsid w:val="00D85EB8"/>
    <w:pPr>
      <w:spacing w:after="0"/>
    </w:pPr>
    <w:rPr>
      <w:rFonts w:eastAsiaTheme="minorEastAsia"/>
      <w:sz w:val="22"/>
      <w:szCs w:val="22"/>
      <w:lang w:val="es-CO" w:eastAsia="es-CO"/>
    </w:rPr>
  </w:style>
  <w:style w:type="character" w:customStyle="1" w:styleId="SinespaciadoCar">
    <w:name w:val="Sin espaciado Car"/>
    <w:basedOn w:val="Fuentedeprrafopredeter"/>
    <w:link w:val="Sinespaciado"/>
    <w:uiPriority w:val="1"/>
    <w:rsid w:val="00D85EB8"/>
    <w:rPr>
      <w:rFonts w:eastAsiaTheme="minorEastAsia"/>
      <w:sz w:val="22"/>
      <w:szCs w:val="22"/>
      <w:lang w:val="es-CO" w:eastAsia="es-CO"/>
    </w:rPr>
  </w:style>
  <w:style w:type="table" w:styleId="Tabladecuadrcula7concolores">
    <w:name w:val="Grid Table 7 Colorful"/>
    <w:basedOn w:val="Tablanormal"/>
    <w:uiPriority w:val="52"/>
    <w:rsid w:val="005D11C3"/>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apple-converted-space">
    <w:name w:val="apple-converted-space"/>
    <w:basedOn w:val="Fuentedeprrafopredeter"/>
    <w:rsid w:val="00E33AEA"/>
  </w:style>
  <w:style w:type="character" w:styleId="Textoennegrita">
    <w:name w:val="Strong"/>
    <w:basedOn w:val="Fuentedeprrafopredeter"/>
    <w:uiPriority w:val="22"/>
    <w:qFormat/>
    <w:rsid w:val="00E33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7771">
      <w:bodyDiv w:val="1"/>
      <w:marLeft w:val="0"/>
      <w:marRight w:val="0"/>
      <w:marTop w:val="0"/>
      <w:marBottom w:val="0"/>
      <w:divBdr>
        <w:top w:val="none" w:sz="0" w:space="0" w:color="auto"/>
        <w:left w:val="none" w:sz="0" w:space="0" w:color="auto"/>
        <w:bottom w:val="none" w:sz="0" w:space="0" w:color="auto"/>
        <w:right w:val="none" w:sz="0" w:space="0" w:color="auto"/>
      </w:divBdr>
    </w:div>
    <w:div w:id="22022107">
      <w:bodyDiv w:val="1"/>
      <w:marLeft w:val="0"/>
      <w:marRight w:val="0"/>
      <w:marTop w:val="0"/>
      <w:marBottom w:val="0"/>
      <w:divBdr>
        <w:top w:val="none" w:sz="0" w:space="0" w:color="auto"/>
        <w:left w:val="none" w:sz="0" w:space="0" w:color="auto"/>
        <w:bottom w:val="none" w:sz="0" w:space="0" w:color="auto"/>
        <w:right w:val="none" w:sz="0" w:space="0" w:color="auto"/>
      </w:divBdr>
      <w:divsChild>
        <w:div w:id="1489596531">
          <w:marLeft w:val="547"/>
          <w:marRight w:val="0"/>
          <w:marTop w:val="0"/>
          <w:marBottom w:val="0"/>
          <w:divBdr>
            <w:top w:val="none" w:sz="0" w:space="0" w:color="auto"/>
            <w:left w:val="none" w:sz="0" w:space="0" w:color="auto"/>
            <w:bottom w:val="none" w:sz="0" w:space="0" w:color="auto"/>
            <w:right w:val="none" w:sz="0" w:space="0" w:color="auto"/>
          </w:divBdr>
        </w:div>
        <w:div w:id="2087914420">
          <w:marLeft w:val="547"/>
          <w:marRight w:val="0"/>
          <w:marTop w:val="0"/>
          <w:marBottom w:val="0"/>
          <w:divBdr>
            <w:top w:val="none" w:sz="0" w:space="0" w:color="auto"/>
            <w:left w:val="none" w:sz="0" w:space="0" w:color="auto"/>
            <w:bottom w:val="none" w:sz="0" w:space="0" w:color="auto"/>
            <w:right w:val="none" w:sz="0" w:space="0" w:color="auto"/>
          </w:divBdr>
        </w:div>
      </w:divsChild>
    </w:div>
    <w:div w:id="59258834">
      <w:bodyDiv w:val="1"/>
      <w:marLeft w:val="0"/>
      <w:marRight w:val="0"/>
      <w:marTop w:val="0"/>
      <w:marBottom w:val="0"/>
      <w:divBdr>
        <w:top w:val="none" w:sz="0" w:space="0" w:color="auto"/>
        <w:left w:val="none" w:sz="0" w:space="0" w:color="auto"/>
        <w:bottom w:val="none" w:sz="0" w:space="0" w:color="auto"/>
        <w:right w:val="none" w:sz="0" w:space="0" w:color="auto"/>
      </w:divBdr>
    </w:div>
    <w:div w:id="96566789">
      <w:bodyDiv w:val="1"/>
      <w:marLeft w:val="0"/>
      <w:marRight w:val="0"/>
      <w:marTop w:val="0"/>
      <w:marBottom w:val="0"/>
      <w:divBdr>
        <w:top w:val="none" w:sz="0" w:space="0" w:color="auto"/>
        <w:left w:val="none" w:sz="0" w:space="0" w:color="auto"/>
        <w:bottom w:val="none" w:sz="0" w:space="0" w:color="auto"/>
        <w:right w:val="none" w:sz="0" w:space="0" w:color="auto"/>
      </w:divBdr>
    </w:div>
    <w:div w:id="106513352">
      <w:bodyDiv w:val="1"/>
      <w:marLeft w:val="0"/>
      <w:marRight w:val="0"/>
      <w:marTop w:val="0"/>
      <w:marBottom w:val="0"/>
      <w:divBdr>
        <w:top w:val="none" w:sz="0" w:space="0" w:color="auto"/>
        <w:left w:val="none" w:sz="0" w:space="0" w:color="auto"/>
        <w:bottom w:val="none" w:sz="0" w:space="0" w:color="auto"/>
        <w:right w:val="none" w:sz="0" w:space="0" w:color="auto"/>
      </w:divBdr>
    </w:div>
    <w:div w:id="108939266">
      <w:bodyDiv w:val="1"/>
      <w:marLeft w:val="0"/>
      <w:marRight w:val="0"/>
      <w:marTop w:val="0"/>
      <w:marBottom w:val="0"/>
      <w:divBdr>
        <w:top w:val="none" w:sz="0" w:space="0" w:color="auto"/>
        <w:left w:val="none" w:sz="0" w:space="0" w:color="auto"/>
        <w:bottom w:val="none" w:sz="0" w:space="0" w:color="auto"/>
        <w:right w:val="none" w:sz="0" w:space="0" w:color="auto"/>
      </w:divBdr>
    </w:div>
    <w:div w:id="172305031">
      <w:bodyDiv w:val="1"/>
      <w:marLeft w:val="0"/>
      <w:marRight w:val="0"/>
      <w:marTop w:val="0"/>
      <w:marBottom w:val="0"/>
      <w:divBdr>
        <w:top w:val="none" w:sz="0" w:space="0" w:color="auto"/>
        <w:left w:val="none" w:sz="0" w:space="0" w:color="auto"/>
        <w:bottom w:val="none" w:sz="0" w:space="0" w:color="auto"/>
        <w:right w:val="none" w:sz="0" w:space="0" w:color="auto"/>
      </w:divBdr>
    </w:div>
    <w:div w:id="206070998">
      <w:bodyDiv w:val="1"/>
      <w:marLeft w:val="0"/>
      <w:marRight w:val="0"/>
      <w:marTop w:val="0"/>
      <w:marBottom w:val="0"/>
      <w:divBdr>
        <w:top w:val="none" w:sz="0" w:space="0" w:color="auto"/>
        <w:left w:val="none" w:sz="0" w:space="0" w:color="auto"/>
        <w:bottom w:val="none" w:sz="0" w:space="0" w:color="auto"/>
        <w:right w:val="none" w:sz="0" w:space="0" w:color="auto"/>
      </w:divBdr>
    </w:div>
    <w:div w:id="227765353">
      <w:bodyDiv w:val="1"/>
      <w:marLeft w:val="0"/>
      <w:marRight w:val="0"/>
      <w:marTop w:val="0"/>
      <w:marBottom w:val="0"/>
      <w:divBdr>
        <w:top w:val="none" w:sz="0" w:space="0" w:color="auto"/>
        <w:left w:val="none" w:sz="0" w:space="0" w:color="auto"/>
        <w:bottom w:val="none" w:sz="0" w:space="0" w:color="auto"/>
        <w:right w:val="none" w:sz="0" w:space="0" w:color="auto"/>
      </w:divBdr>
    </w:div>
    <w:div w:id="239414424">
      <w:bodyDiv w:val="1"/>
      <w:marLeft w:val="0"/>
      <w:marRight w:val="0"/>
      <w:marTop w:val="0"/>
      <w:marBottom w:val="0"/>
      <w:divBdr>
        <w:top w:val="none" w:sz="0" w:space="0" w:color="auto"/>
        <w:left w:val="none" w:sz="0" w:space="0" w:color="auto"/>
        <w:bottom w:val="none" w:sz="0" w:space="0" w:color="auto"/>
        <w:right w:val="none" w:sz="0" w:space="0" w:color="auto"/>
      </w:divBdr>
    </w:div>
    <w:div w:id="252789389">
      <w:bodyDiv w:val="1"/>
      <w:marLeft w:val="0"/>
      <w:marRight w:val="0"/>
      <w:marTop w:val="0"/>
      <w:marBottom w:val="0"/>
      <w:divBdr>
        <w:top w:val="none" w:sz="0" w:space="0" w:color="auto"/>
        <w:left w:val="none" w:sz="0" w:space="0" w:color="auto"/>
        <w:bottom w:val="none" w:sz="0" w:space="0" w:color="auto"/>
        <w:right w:val="none" w:sz="0" w:space="0" w:color="auto"/>
      </w:divBdr>
    </w:div>
    <w:div w:id="256211892">
      <w:bodyDiv w:val="1"/>
      <w:marLeft w:val="0"/>
      <w:marRight w:val="0"/>
      <w:marTop w:val="0"/>
      <w:marBottom w:val="0"/>
      <w:divBdr>
        <w:top w:val="none" w:sz="0" w:space="0" w:color="auto"/>
        <w:left w:val="none" w:sz="0" w:space="0" w:color="auto"/>
        <w:bottom w:val="none" w:sz="0" w:space="0" w:color="auto"/>
        <w:right w:val="none" w:sz="0" w:space="0" w:color="auto"/>
      </w:divBdr>
    </w:div>
    <w:div w:id="321588587">
      <w:bodyDiv w:val="1"/>
      <w:marLeft w:val="0"/>
      <w:marRight w:val="0"/>
      <w:marTop w:val="0"/>
      <w:marBottom w:val="0"/>
      <w:divBdr>
        <w:top w:val="none" w:sz="0" w:space="0" w:color="auto"/>
        <w:left w:val="none" w:sz="0" w:space="0" w:color="auto"/>
        <w:bottom w:val="none" w:sz="0" w:space="0" w:color="auto"/>
        <w:right w:val="none" w:sz="0" w:space="0" w:color="auto"/>
      </w:divBdr>
    </w:div>
    <w:div w:id="347024104">
      <w:bodyDiv w:val="1"/>
      <w:marLeft w:val="0"/>
      <w:marRight w:val="0"/>
      <w:marTop w:val="0"/>
      <w:marBottom w:val="0"/>
      <w:divBdr>
        <w:top w:val="none" w:sz="0" w:space="0" w:color="auto"/>
        <w:left w:val="none" w:sz="0" w:space="0" w:color="auto"/>
        <w:bottom w:val="none" w:sz="0" w:space="0" w:color="auto"/>
        <w:right w:val="none" w:sz="0" w:space="0" w:color="auto"/>
      </w:divBdr>
    </w:div>
    <w:div w:id="356542905">
      <w:bodyDiv w:val="1"/>
      <w:marLeft w:val="0"/>
      <w:marRight w:val="0"/>
      <w:marTop w:val="0"/>
      <w:marBottom w:val="0"/>
      <w:divBdr>
        <w:top w:val="none" w:sz="0" w:space="0" w:color="auto"/>
        <w:left w:val="none" w:sz="0" w:space="0" w:color="auto"/>
        <w:bottom w:val="none" w:sz="0" w:space="0" w:color="auto"/>
        <w:right w:val="none" w:sz="0" w:space="0" w:color="auto"/>
      </w:divBdr>
    </w:div>
    <w:div w:id="358513750">
      <w:bodyDiv w:val="1"/>
      <w:marLeft w:val="0"/>
      <w:marRight w:val="0"/>
      <w:marTop w:val="0"/>
      <w:marBottom w:val="0"/>
      <w:divBdr>
        <w:top w:val="none" w:sz="0" w:space="0" w:color="auto"/>
        <w:left w:val="none" w:sz="0" w:space="0" w:color="auto"/>
        <w:bottom w:val="none" w:sz="0" w:space="0" w:color="auto"/>
        <w:right w:val="none" w:sz="0" w:space="0" w:color="auto"/>
      </w:divBdr>
      <w:divsChild>
        <w:div w:id="1811828418">
          <w:marLeft w:val="547"/>
          <w:marRight w:val="0"/>
          <w:marTop w:val="0"/>
          <w:marBottom w:val="0"/>
          <w:divBdr>
            <w:top w:val="none" w:sz="0" w:space="0" w:color="auto"/>
            <w:left w:val="none" w:sz="0" w:space="0" w:color="auto"/>
            <w:bottom w:val="none" w:sz="0" w:space="0" w:color="auto"/>
            <w:right w:val="none" w:sz="0" w:space="0" w:color="auto"/>
          </w:divBdr>
        </w:div>
      </w:divsChild>
    </w:div>
    <w:div w:id="387190201">
      <w:bodyDiv w:val="1"/>
      <w:marLeft w:val="0"/>
      <w:marRight w:val="0"/>
      <w:marTop w:val="0"/>
      <w:marBottom w:val="0"/>
      <w:divBdr>
        <w:top w:val="none" w:sz="0" w:space="0" w:color="auto"/>
        <w:left w:val="none" w:sz="0" w:space="0" w:color="auto"/>
        <w:bottom w:val="none" w:sz="0" w:space="0" w:color="auto"/>
        <w:right w:val="none" w:sz="0" w:space="0" w:color="auto"/>
      </w:divBdr>
    </w:div>
    <w:div w:id="424883296">
      <w:bodyDiv w:val="1"/>
      <w:marLeft w:val="0"/>
      <w:marRight w:val="0"/>
      <w:marTop w:val="0"/>
      <w:marBottom w:val="0"/>
      <w:divBdr>
        <w:top w:val="none" w:sz="0" w:space="0" w:color="auto"/>
        <w:left w:val="none" w:sz="0" w:space="0" w:color="auto"/>
        <w:bottom w:val="none" w:sz="0" w:space="0" w:color="auto"/>
        <w:right w:val="none" w:sz="0" w:space="0" w:color="auto"/>
      </w:divBdr>
    </w:div>
    <w:div w:id="452552473">
      <w:bodyDiv w:val="1"/>
      <w:marLeft w:val="0"/>
      <w:marRight w:val="0"/>
      <w:marTop w:val="0"/>
      <w:marBottom w:val="0"/>
      <w:divBdr>
        <w:top w:val="none" w:sz="0" w:space="0" w:color="auto"/>
        <w:left w:val="none" w:sz="0" w:space="0" w:color="auto"/>
        <w:bottom w:val="none" w:sz="0" w:space="0" w:color="auto"/>
        <w:right w:val="none" w:sz="0" w:space="0" w:color="auto"/>
      </w:divBdr>
    </w:div>
    <w:div w:id="487139408">
      <w:bodyDiv w:val="1"/>
      <w:marLeft w:val="0"/>
      <w:marRight w:val="0"/>
      <w:marTop w:val="0"/>
      <w:marBottom w:val="0"/>
      <w:divBdr>
        <w:top w:val="none" w:sz="0" w:space="0" w:color="auto"/>
        <w:left w:val="none" w:sz="0" w:space="0" w:color="auto"/>
        <w:bottom w:val="none" w:sz="0" w:space="0" w:color="auto"/>
        <w:right w:val="none" w:sz="0" w:space="0" w:color="auto"/>
      </w:divBdr>
    </w:div>
    <w:div w:id="682897195">
      <w:bodyDiv w:val="1"/>
      <w:marLeft w:val="0"/>
      <w:marRight w:val="0"/>
      <w:marTop w:val="0"/>
      <w:marBottom w:val="0"/>
      <w:divBdr>
        <w:top w:val="none" w:sz="0" w:space="0" w:color="auto"/>
        <w:left w:val="none" w:sz="0" w:space="0" w:color="auto"/>
        <w:bottom w:val="none" w:sz="0" w:space="0" w:color="auto"/>
        <w:right w:val="none" w:sz="0" w:space="0" w:color="auto"/>
      </w:divBdr>
    </w:div>
    <w:div w:id="698431734">
      <w:bodyDiv w:val="1"/>
      <w:marLeft w:val="0"/>
      <w:marRight w:val="0"/>
      <w:marTop w:val="0"/>
      <w:marBottom w:val="0"/>
      <w:divBdr>
        <w:top w:val="none" w:sz="0" w:space="0" w:color="auto"/>
        <w:left w:val="none" w:sz="0" w:space="0" w:color="auto"/>
        <w:bottom w:val="none" w:sz="0" w:space="0" w:color="auto"/>
        <w:right w:val="none" w:sz="0" w:space="0" w:color="auto"/>
      </w:divBdr>
      <w:divsChild>
        <w:div w:id="1621763439">
          <w:marLeft w:val="360"/>
          <w:marRight w:val="0"/>
          <w:marTop w:val="0"/>
          <w:marBottom w:val="72"/>
          <w:divBdr>
            <w:top w:val="none" w:sz="0" w:space="0" w:color="auto"/>
            <w:left w:val="none" w:sz="0" w:space="0" w:color="auto"/>
            <w:bottom w:val="none" w:sz="0" w:space="0" w:color="auto"/>
            <w:right w:val="none" w:sz="0" w:space="0" w:color="auto"/>
          </w:divBdr>
        </w:div>
      </w:divsChild>
    </w:div>
    <w:div w:id="734668756">
      <w:bodyDiv w:val="1"/>
      <w:marLeft w:val="0"/>
      <w:marRight w:val="0"/>
      <w:marTop w:val="0"/>
      <w:marBottom w:val="0"/>
      <w:divBdr>
        <w:top w:val="none" w:sz="0" w:space="0" w:color="auto"/>
        <w:left w:val="none" w:sz="0" w:space="0" w:color="auto"/>
        <w:bottom w:val="none" w:sz="0" w:space="0" w:color="auto"/>
        <w:right w:val="none" w:sz="0" w:space="0" w:color="auto"/>
      </w:divBdr>
      <w:divsChild>
        <w:div w:id="1848904203">
          <w:marLeft w:val="0"/>
          <w:marRight w:val="0"/>
          <w:marTop w:val="0"/>
          <w:marBottom w:val="0"/>
          <w:divBdr>
            <w:top w:val="none" w:sz="0" w:space="0" w:color="auto"/>
            <w:left w:val="none" w:sz="0" w:space="0" w:color="auto"/>
            <w:bottom w:val="none" w:sz="0" w:space="0" w:color="auto"/>
            <w:right w:val="none" w:sz="0" w:space="0" w:color="auto"/>
          </w:divBdr>
        </w:div>
        <w:div w:id="1419256413">
          <w:marLeft w:val="0"/>
          <w:marRight w:val="0"/>
          <w:marTop w:val="0"/>
          <w:marBottom w:val="0"/>
          <w:divBdr>
            <w:top w:val="none" w:sz="0" w:space="0" w:color="auto"/>
            <w:left w:val="none" w:sz="0" w:space="0" w:color="auto"/>
            <w:bottom w:val="none" w:sz="0" w:space="0" w:color="auto"/>
            <w:right w:val="none" w:sz="0" w:space="0" w:color="auto"/>
          </w:divBdr>
        </w:div>
        <w:div w:id="1750809233">
          <w:marLeft w:val="0"/>
          <w:marRight w:val="0"/>
          <w:marTop w:val="0"/>
          <w:marBottom w:val="0"/>
          <w:divBdr>
            <w:top w:val="none" w:sz="0" w:space="0" w:color="auto"/>
            <w:left w:val="none" w:sz="0" w:space="0" w:color="auto"/>
            <w:bottom w:val="none" w:sz="0" w:space="0" w:color="auto"/>
            <w:right w:val="none" w:sz="0" w:space="0" w:color="auto"/>
          </w:divBdr>
        </w:div>
        <w:div w:id="1663653303">
          <w:marLeft w:val="0"/>
          <w:marRight w:val="0"/>
          <w:marTop w:val="0"/>
          <w:marBottom w:val="0"/>
          <w:divBdr>
            <w:top w:val="none" w:sz="0" w:space="0" w:color="auto"/>
            <w:left w:val="none" w:sz="0" w:space="0" w:color="auto"/>
            <w:bottom w:val="none" w:sz="0" w:space="0" w:color="auto"/>
            <w:right w:val="none" w:sz="0" w:space="0" w:color="auto"/>
          </w:divBdr>
        </w:div>
        <w:div w:id="2022079395">
          <w:marLeft w:val="0"/>
          <w:marRight w:val="0"/>
          <w:marTop w:val="0"/>
          <w:marBottom w:val="0"/>
          <w:divBdr>
            <w:top w:val="none" w:sz="0" w:space="0" w:color="auto"/>
            <w:left w:val="none" w:sz="0" w:space="0" w:color="auto"/>
            <w:bottom w:val="none" w:sz="0" w:space="0" w:color="auto"/>
            <w:right w:val="none" w:sz="0" w:space="0" w:color="auto"/>
          </w:divBdr>
        </w:div>
        <w:div w:id="1121995385">
          <w:marLeft w:val="0"/>
          <w:marRight w:val="0"/>
          <w:marTop w:val="0"/>
          <w:marBottom w:val="0"/>
          <w:divBdr>
            <w:top w:val="none" w:sz="0" w:space="0" w:color="auto"/>
            <w:left w:val="none" w:sz="0" w:space="0" w:color="auto"/>
            <w:bottom w:val="none" w:sz="0" w:space="0" w:color="auto"/>
            <w:right w:val="none" w:sz="0" w:space="0" w:color="auto"/>
          </w:divBdr>
        </w:div>
      </w:divsChild>
    </w:div>
    <w:div w:id="751242815">
      <w:bodyDiv w:val="1"/>
      <w:marLeft w:val="0"/>
      <w:marRight w:val="0"/>
      <w:marTop w:val="0"/>
      <w:marBottom w:val="0"/>
      <w:divBdr>
        <w:top w:val="none" w:sz="0" w:space="0" w:color="auto"/>
        <w:left w:val="none" w:sz="0" w:space="0" w:color="auto"/>
        <w:bottom w:val="none" w:sz="0" w:space="0" w:color="auto"/>
        <w:right w:val="none" w:sz="0" w:space="0" w:color="auto"/>
      </w:divBdr>
    </w:div>
    <w:div w:id="754671206">
      <w:bodyDiv w:val="1"/>
      <w:marLeft w:val="0"/>
      <w:marRight w:val="0"/>
      <w:marTop w:val="0"/>
      <w:marBottom w:val="0"/>
      <w:divBdr>
        <w:top w:val="none" w:sz="0" w:space="0" w:color="auto"/>
        <w:left w:val="none" w:sz="0" w:space="0" w:color="auto"/>
        <w:bottom w:val="none" w:sz="0" w:space="0" w:color="auto"/>
        <w:right w:val="none" w:sz="0" w:space="0" w:color="auto"/>
      </w:divBdr>
    </w:div>
    <w:div w:id="796337374">
      <w:bodyDiv w:val="1"/>
      <w:marLeft w:val="0"/>
      <w:marRight w:val="0"/>
      <w:marTop w:val="0"/>
      <w:marBottom w:val="0"/>
      <w:divBdr>
        <w:top w:val="none" w:sz="0" w:space="0" w:color="auto"/>
        <w:left w:val="none" w:sz="0" w:space="0" w:color="auto"/>
        <w:bottom w:val="none" w:sz="0" w:space="0" w:color="auto"/>
        <w:right w:val="none" w:sz="0" w:space="0" w:color="auto"/>
      </w:divBdr>
    </w:div>
    <w:div w:id="844127632">
      <w:bodyDiv w:val="1"/>
      <w:marLeft w:val="0"/>
      <w:marRight w:val="0"/>
      <w:marTop w:val="0"/>
      <w:marBottom w:val="0"/>
      <w:divBdr>
        <w:top w:val="none" w:sz="0" w:space="0" w:color="auto"/>
        <w:left w:val="none" w:sz="0" w:space="0" w:color="auto"/>
        <w:bottom w:val="none" w:sz="0" w:space="0" w:color="auto"/>
        <w:right w:val="none" w:sz="0" w:space="0" w:color="auto"/>
      </w:divBdr>
    </w:div>
    <w:div w:id="861357696">
      <w:bodyDiv w:val="1"/>
      <w:marLeft w:val="0"/>
      <w:marRight w:val="0"/>
      <w:marTop w:val="0"/>
      <w:marBottom w:val="0"/>
      <w:divBdr>
        <w:top w:val="none" w:sz="0" w:space="0" w:color="auto"/>
        <w:left w:val="none" w:sz="0" w:space="0" w:color="auto"/>
        <w:bottom w:val="none" w:sz="0" w:space="0" w:color="auto"/>
        <w:right w:val="none" w:sz="0" w:space="0" w:color="auto"/>
      </w:divBdr>
      <w:divsChild>
        <w:div w:id="738210916">
          <w:marLeft w:val="547"/>
          <w:marRight w:val="0"/>
          <w:marTop w:val="0"/>
          <w:marBottom w:val="0"/>
          <w:divBdr>
            <w:top w:val="none" w:sz="0" w:space="0" w:color="auto"/>
            <w:left w:val="none" w:sz="0" w:space="0" w:color="auto"/>
            <w:bottom w:val="none" w:sz="0" w:space="0" w:color="auto"/>
            <w:right w:val="none" w:sz="0" w:space="0" w:color="auto"/>
          </w:divBdr>
        </w:div>
        <w:div w:id="344358475">
          <w:marLeft w:val="547"/>
          <w:marRight w:val="0"/>
          <w:marTop w:val="0"/>
          <w:marBottom w:val="0"/>
          <w:divBdr>
            <w:top w:val="none" w:sz="0" w:space="0" w:color="auto"/>
            <w:left w:val="none" w:sz="0" w:space="0" w:color="auto"/>
            <w:bottom w:val="none" w:sz="0" w:space="0" w:color="auto"/>
            <w:right w:val="none" w:sz="0" w:space="0" w:color="auto"/>
          </w:divBdr>
        </w:div>
      </w:divsChild>
    </w:div>
    <w:div w:id="882443595">
      <w:bodyDiv w:val="1"/>
      <w:marLeft w:val="0"/>
      <w:marRight w:val="0"/>
      <w:marTop w:val="0"/>
      <w:marBottom w:val="0"/>
      <w:divBdr>
        <w:top w:val="none" w:sz="0" w:space="0" w:color="auto"/>
        <w:left w:val="none" w:sz="0" w:space="0" w:color="auto"/>
        <w:bottom w:val="none" w:sz="0" w:space="0" w:color="auto"/>
        <w:right w:val="none" w:sz="0" w:space="0" w:color="auto"/>
      </w:divBdr>
      <w:divsChild>
        <w:div w:id="2081445772">
          <w:marLeft w:val="547"/>
          <w:marRight w:val="0"/>
          <w:marTop w:val="0"/>
          <w:marBottom w:val="0"/>
          <w:divBdr>
            <w:top w:val="none" w:sz="0" w:space="0" w:color="auto"/>
            <w:left w:val="none" w:sz="0" w:space="0" w:color="auto"/>
            <w:bottom w:val="none" w:sz="0" w:space="0" w:color="auto"/>
            <w:right w:val="none" w:sz="0" w:space="0" w:color="auto"/>
          </w:divBdr>
        </w:div>
      </w:divsChild>
    </w:div>
    <w:div w:id="889151150">
      <w:bodyDiv w:val="1"/>
      <w:marLeft w:val="0"/>
      <w:marRight w:val="0"/>
      <w:marTop w:val="0"/>
      <w:marBottom w:val="0"/>
      <w:divBdr>
        <w:top w:val="none" w:sz="0" w:space="0" w:color="auto"/>
        <w:left w:val="none" w:sz="0" w:space="0" w:color="auto"/>
        <w:bottom w:val="none" w:sz="0" w:space="0" w:color="auto"/>
        <w:right w:val="none" w:sz="0" w:space="0" w:color="auto"/>
      </w:divBdr>
      <w:divsChild>
        <w:div w:id="1843548167">
          <w:marLeft w:val="547"/>
          <w:marRight w:val="0"/>
          <w:marTop w:val="0"/>
          <w:marBottom w:val="0"/>
          <w:divBdr>
            <w:top w:val="none" w:sz="0" w:space="0" w:color="auto"/>
            <w:left w:val="none" w:sz="0" w:space="0" w:color="auto"/>
            <w:bottom w:val="none" w:sz="0" w:space="0" w:color="auto"/>
            <w:right w:val="none" w:sz="0" w:space="0" w:color="auto"/>
          </w:divBdr>
        </w:div>
        <w:div w:id="716398944">
          <w:marLeft w:val="547"/>
          <w:marRight w:val="0"/>
          <w:marTop w:val="0"/>
          <w:marBottom w:val="0"/>
          <w:divBdr>
            <w:top w:val="none" w:sz="0" w:space="0" w:color="auto"/>
            <w:left w:val="none" w:sz="0" w:space="0" w:color="auto"/>
            <w:bottom w:val="none" w:sz="0" w:space="0" w:color="auto"/>
            <w:right w:val="none" w:sz="0" w:space="0" w:color="auto"/>
          </w:divBdr>
        </w:div>
      </w:divsChild>
    </w:div>
    <w:div w:id="946235166">
      <w:bodyDiv w:val="1"/>
      <w:marLeft w:val="0"/>
      <w:marRight w:val="0"/>
      <w:marTop w:val="0"/>
      <w:marBottom w:val="0"/>
      <w:divBdr>
        <w:top w:val="none" w:sz="0" w:space="0" w:color="auto"/>
        <w:left w:val="none" w:sz="0" w:space="0" w:color="auto"/>
        <w:bottom w:val="none" w:sz="0" w:space="0" w:color="auto"/>
        <w:right w:val="none" w:sz="0" w:space="0" w:color="auto"/>
      </w:divBdr>
    </w:div>
    <w:div w:id="1000888545">
      <w:bodyDiv w:val="1"/>
      <w:marLeft w:val="0"/>
      <w:marRight w:val="0"/>
      <w:marTop w:val="0"/>
      <w:marBottom w:val="0"/>
      <w:divBdr>
        <w:top w:val="none" w:sz="0" w:space="0" w:color="auto"/>
        <w:left w:val="none" w:sz="0" w:space="0" w:color="auto"/>
        <w:bottom w:val="none" w:sz="0" w:space="0" w:color="auto"/>
        <w:right w:val="none" w:sz="0" w:space="0" w:color="auto"/>
      </w:divBdr>
    </w:div>
    <w:div w:id="1041126297">
      <w:bodyDiv w:val="1"/>
      <w:marLeft w:val="0"/>
      <w:marRight w:val="0"/>
      <w:marTop w:val="0"/>
      <w:marBottom w:val="0"/>
      <w:divBdr>
        <w:top w:val="none" w:sz="0" w:space="0" w:color="auto"/>
        <w:left w:val="none" w:sz="0" w:space="0" w:color="auto"/>
        <w:bottom w:val="none" w:sz="0" w:space="0" w:color="auto"/>
        <w:right w:val="none" w:sz="0" w:space="0" w:color="auto"/>
      </w:divBdr>
    </w:div>
    <w:div w:id="1078097873">
      <w:bodyDiv w:val="1"/>
      <w:marLeft w:val="0"/>
      <w:marRight w:val="0"/>
      <w:marTop w:val="0"/>
      <w:marBottom w:val="0"/>
      <w:divBdr>
        <w:top w:val="none" w:sz="0" w:space="0" w:color="auto"/>
        <w:left w:val="none" w:sz="0" w:space="0" w:color="auto"/>
        <w:bottom w:val="none" w:sz="0" w:space="0" w:color="auto"/>
        <w:right w:val="none" w:sz="0" w:space="0" w:color="auto"/>
      </w:divBdr>
      <w:divsChild>
        <w:div w:id="546793524">
          <w:marLeft w:val="547"/>
          <w:marRight w:val="0"/>
          <w:marTop w:val="0"/>
          <w:marBottom w:val="0"/>
          <w:divBdr>
            <w:top w:val="none" w:sz="0" w:space="0" w:color="auto"/>
            <w:left w:val="none" w:sz="0" w:space="0" w:color="auto"/>
            <w:bottom w:val="none" w:sz="0" w:space="0" w:color="auto"/>
            <w:right w:val="none" w:sz="0" w:space="0" w:color="auto"/>
          </w:divBdr>
        </w:div>
      </w:divsChild>
    </w:div>
    <w:div w:id="1094594191">
      <w:bodyDiv w:val="1"/>
      <w:marLeft w:val="0"/>
      <w:marRight w:val="0"/>
      <w:marTop w:val="0"/>
      <w:marBottom w:val="0"/>
      <w:divBdr>
        <w:top w:val="none" w:sz="0" w:space="0" w:color="auto"/>
        <w:left w:val="none" w:sz="0" w:space="0" w:color="auto"/>
        <w:bottom w:val="none" w:sz="0" w:space="0" w:color="auto"/>
        <w:right w:val="none" w:sz="0" w:space="0" w:color="auto"/>
      </w:divBdr>
    </w:div>
    <w:div w:id="110711957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62">
          <w:marLeft w:val="547"/>
          <w:marRight w:val="0"/>
          <w:marTop w:val="0"/>
          <w:marBottom w:val="0"/>
          <w:divBdr>
            <w:top w:val="none" w:sz="0" w:space="0" w:color="auto"/>
            <w:left w:val="none" w:sz="0" w:space="0" w:color="auto"/>
            <w:bottom w:val="none" w:sz="0" w:space="0" w:color="auto"/>
            <w:right w:val="none" w:sz="0" w:space="0" w:color="auto"/>
          </w:divBdr>
        </w:div>
        <w:div w:id="232468979">
          <w:marLeft w:val="547"/>
          <w:marRight w:val="0"/>
          <w:marTop w:val="0"/>
          <w:marBottom w:val="0"/>
          <w:divBdr>
            <w:top w:val="none" w:sz="0" w:space="0" w:color="auto"/>
            <w:left w:val="none" w:sz="0" w:space="0" w:color="auto"/>
            <w:bottom w:val="none" w:sz="0" w:space="0" w:color="auto"/>
            <w:right w:val="none" w:sz="0" w:space="0" w:color="auto"/>
          </w:divBdr>
        </w:div>
      </w:divsChild>
    </w:div>
    <w:div w:id="1169102274">
      <w:bodyDiv w:val="1"/>
      <w:marLeft w:val="0"/>
      <w:marRight w:val="0"/>
      <w:marTop w:val="0"/>
      <w:marBottom w:val="0"/>
      <w:divBdr>
        <w:top w:val="none" w:sz="0" w:space="0" w:color="auto"/>
        <w:left w:val="none" w:sz="0" w:space="0" w:color="auto"/>
        <w:bottom w:val="none" w:sz="0" w:space="0" w:color="auto"/>
        <w:right w:val="none" w:sz="0" w:space="0" w:color="auto"/>
      </w:divBdr>
      <w:divsChild>
        <w:div w:id="667173845">
          <w:marLeft w:val="547"/>
          <w:marRight w:val="0"/>
          <w:marTop w:val="86"/>
          <w:marBottom w:val="0"/>
          <w:divBdr>
            <w:top w:val="none" w:sz="0" w:space="0" w:color="auto"/>
            <w:left w:val="none" w:sz="0" w:space="0" w:color="auto"/>
            <w:bottom w:val="none" w:sz="0" w:space="0" w:color="auto"/>
            <w:right w:val="none" w:sz="0" w:space="0" w:color="auto"/>
          </w:divBdr>
        </w:div>
        <w:div w:id="1408844815">
          <w:marLeft w:val="547"/>
          <w:marRight w:val="0"/>
          <w:marTop w:val="86"/>
          <w:marBottom w:val="0"/>
          <w:divBdr>
            <w:top w:val="none" w:sz="0" w:space="0" w:color="auto"/>
            <w:left w:val="none" w:sz="0" w:space="0" w:color="auto"/>
            <w:bottom w:val="none" w:sz="0" w:space="0" w:color="auto"/>
            <w:right w:val="none" w:sz="0" w:space="0" w:color="auto"/>
          </w:divBdr>
        </w:div>
        <w:div w:id="1326056403">
          <w:marLeft w:val="547"/>
          <w:marRight w:val="0"/>
          <w:marTop w:val="86"/>
          <w:marBottom w:val="0"/>
          <w:divBdr>
            <w:top w:val="none" w:sz="0" w:space="0" w:color="auto"/>
            <w:left w:val="none" w:sz="0" w:space="0" w:color="auto"/>
            <w:bottom w:val="none" w:sz="0" w:space="0" w:color="auto"/>
            <w:right w:val="none" w:sz="0" w:space="0" w:color="auto"/>
          </w:divBdr>
        </w:div>
        <w:div w:id="1626959201">
          <w:marLeft w:val="547"/>
          <w:marRight w:val="0"/>
          <w:marTop w:val="86"/>
          <w:marBottom w:val="0"/>
          <w:divBdr>
            <w:top w:val="none" w:sz="0" w:space="0" w:color="auto"/>
            <w:left w:val="none" w:sz="0" w:space="0" w:color="auto"/>
            <w:bottom w:val="none" w:sz="0" w:space="0" w:color="auto"/>
            <w:right w:val="none" w:sz="0" w:space="0" w:color="auto"/>
          </w:divBdr>
        </w:div>
      </w:divsChild>
    </w:div>
    <w:div w:id="1325206717">
      <w:bodyDiv w:val="1"/>
      <w:marLeft w:val="0"/>
      <w:marRight w:val="0"/>
      <w:marTop w:val="0"/>
      <w:marBottom w:val="0"/>
      <w:divBdr>
        <w:top w:val="none" w:sz="0" w:space="0" w:color="auto"/>
        <w:left w:val="none" w:sz="0" w:space="0" w:color="auto"/>
        <w:bottom w:val="none" w:sz="0" w:space="0" w:color="auto"/>
        <w:right w:val="none" w:sz="0" w:space="0" w:color="auto"/>
      </w:divBdr>
      <w:divsChild>
        <w:div w:id="238056107">
          <w:marLeft w:val="547"/>
          <w:marRight w:val="0"/>
          <w:marTop w:val="154"/>
          <w:marBottom w:val="0"/>
          <w:divBdr>
            <w:top w:val="none" w:sz="0" w:space="0" w:color="auto"/>
            <w:left w:val="none" w:sz="0" w:space="0" w:color="auto"/>
            <w:bottom w:val="none" w:sz="0" w:space="0" w:color="auto"/>
            <w:right w:val="none" w:sz="0" w:space="0" w:color="auto"/>
          </w:divBdr>
        </w:div>
        <w:div w:id="436868426">
          <w:marLeft w:val="547"/>
          <w:marRight w:val="0"/>
          <w:marTop w:val="154"/>
          <w:marBottom w:val="0"/>
          <w:divBdr>
            <w:top w:val="none" w:sz="0" w:space="0" w:color="auto"/>
            <w:left w:val="none" w:sz="0" w:space="0" w:color="auto"/>
            <w:bottom w:val="none" w:sz="0" w:space="0" w:color="auto"/>
            <w:right w:val="none" w:sz="0" w:space="0" w:color="auto"/>
          </w:divBdr>
        </w:div>
      </w:divsChild>
    </w:div>
    <w:div w:id="1466510258">
      <w:bodyDiv w:val="1"/>
      <w:marLeft w:val="0"/>
      <w:marRight w:val="0"/>
      <w:marTop w:val="0"/>
      <w:marBottom w:val="0"/>
      <w:divBdr>
        <w:top w:val="none" w:sz="0" w:space="0" w:color="auto"/>
        <w:left w:val="none" w:sz="0" w:space="0" w:color="auto"/>
        <w:bottom w:val="none" w:sz="0" w:space="0" w:color="auto"/>
        <w:right w:val="none" w:sz="0" w:space="0" w:color="auto"/>
      </w:divBdr>
    </w:div>
    <w:div w:id="1473521207">
      <w:bodyDiv w:val="1"/>
      <w:marLeft w:val="0"/>
      <w:marRight w:val="0"/>
      <w:marTop w:val="0"/>
      <w:marBottom w:val="0"/>
      <w:divBdr>
        <w:top w:val="none" w:sz="0" w:space="0" w:color="auto"/>
        <w:left w:val="none" w:sz="0" w:space="0" w:color="auto"/>
        <w:bottom w:val="none" w:sz="0" w:space="0" w:color="auto"/>
        <w:right w:val="none" w:sz="0" w:space="0" w:color="auto"/>
      </w:divBdr>
      <w:divsChild>
        <w:div w:id="580019913">
          <w:marLeft w:val="547"/>
          <w:marRight w:val="0"/>
          <w:marTop w:val="0"/>
          <w:marBottom w:val="0"/>
          <w:divBdr>
            <w:top w:val="none" w:sz="0" w:space="0" w:color="auto"/>
            <w:left w:val="none" w:sz="0" w:space="0" w:color="auto"/>
            <w:bottom w:val="none" w:sz="0" w:space="0" w:color="auto"/>
            <w:right w:val="none" w:sz="0" w:space="0" w:color="auto"/>
          </w:divBdr>
        </w:div>
      </w:divsChild>
    </w:div>
    <w:div w:id="1486237507">
      <w:bodyDiv w:val="1"/>
      <w:marLeft w:val="0"/>
      <w:marRight w:val="0"/>
      <w:marTop w:val="0"/>
      <w:marBottom w:val="0"/>
      <w:divBdr>
        <w:top w:val="none" w:sz="0" w:space="0" w:color="auto"/>
        <w:left w:val="none" w:sz="0" w:space="0" w:color="auto"/>
        <w:bottom w:val="none" w:sz="0" w:space="0" w:color="auto"/>
        <w:right w:val="none" w:sz="0" w:space="0" w:color="auto"/>
      </w:divBdr>
    </w:div>
    <w:div w:id="1531651726">
      <w:bodyDiv w:val="1"/>
      <w:marLeft w:val="0"/>
      <w:marRight w:val="0"/>
      <w:marTop w:val="0"/>
      <w:marBottom w:val="0"/>
      <w:divBdr>
        <w:top w:val="none" w:sz="0" w:space="0" w:color="auto"/>
        <w:left w:val="none" w:sz="0" w:space="0" w:color="auto"/>
        <w:bottom w:val="none" w:sz="0" w:space="0" w:color="auto"/>
        <w:right w:val="none" w:sz="0" w:space="0" w:color="auto"/>
      </w:divBdr>
    </w:div>
    <w:div w:id="1547796187">
      <w:bodyDiv w:val="1"/>
      <w:marLeft w:val="0"/>
      <w:marRight w:val="0"/>
      <w:marTop w:val="0"/>
      <w:marBottom w:val="0"/>
      <w:divBdr>
        <w:top w:val="none" w:sz="0" w:space="0" w:color="auto"/>
        <w:left w:val="none" w:sz="0" w:space="0" w:color="auto"/>
        <w:bottom w:val="none" w:sz="0" w:space="0" w:color="auto"/>
        <w:right w:val="none" w:sz="0" w:space="0" w:color="auto"/>
      </w:divBdr>
      <w:divsChild>
        <w:div w:id="1395202936">
          <w:marLeft w:val="634"/>
          <w:marRight w:val="0"/>
          <w:marTop w:val="0"/>
          <w:marBottom w:val="0"/>
          <w:divBdr>
            <w:top w:val="none" w:sz="0" w:space="0" w:color="auto"/>
            <w:left w:val="none" w:sz="0" w:space="0" w:color="auto"/>
            <w:bottom w:val="none" w:sz="0" w:space="0" w:color="auto"/>
            <w:right w:val="none" w:sz="0" w:space="0" w:color="auto"/>
          </w:divBdr>
        </w:div>
        <w:div w:id="1599680377">
          <w:marLeft w:val="634"/>
          <w:marRight w:val="0"/>
          <w:marTop w:val="0"/>
          <w:marBottom w:val="0"/>
          <w:divBdr>
            <w:top w:val="none" w:sz="0" w:space="0" w:color="auto"/>
            <w:left w:val="none" w:sz="0" w:space="0" w:color="auto"/>
            <w:bottom w:val="none" w:sz="0" w:space="0" w:color="auto"/>
            <w:right w:val="none" w:sz="0" w:space="0" w:color="auto"/>
          </w:divBdr>
        </w:div>
        <w:div w:id="1036807111">
          <w:marLeft w:val="634"/>
          <w:marRight w:val="0"/>
          <w:marTop w:val="0"/>
          <w:marBottom w:val="0"/>
          <w:divBdr>
            <w:top w:val="none" w:sz="0" w:space="0" w:color="auto"/>
            <w:left w:val="none" w:sz="0" w:space="0" w:color="auto"/>
            <w:bottom w:val="none" w:sz="0" w:space="0" w:color="auto"/>
            <w:right w:val="none" w:sz="0" w:space="0" w:color="auto"/>
          </w:divBdr>
        </w:div>
        <w:div w:id="1886746189">
          <w:marLeft w:val="634"/>
          <w:marRight w:val="0"/>
          <w:marTop w:val="0"/>
          <w:marBottom w:val="0"/>
          <w:divBdr>
            <w:top w:val="none" w:sz="0" w:space="0" w:color="auto"/>
            <w:left w:val="none" w:sz="0" w:space="0" w:color="auto"/>
            <w:bottom w:val="none" w:sz="0" w:space="0" w:color="auto"/>
            <w:right w:val="none" w:sz="0" w:space="0" w:color="auto"/>
          </w:divBdr>
        </w:div>
        <w:div w:id="2058124080">
          <w:marLeft w:val="634"/>
          <w:marRight w:val="0"/>
          <w:marTop w:val="0"/>
          <w:marBottom w:val="0"/>
          <w:divBdr>
            <w:top w:val="none" w:sz="0" w:space="0" w:color="auto"/>
            <w:left w:val="none" w:sz="0" w:space="0" w:color="auto"/>
            <w:bottom w:val="none" w:sz="0" w:space="0" w:color="auto"/>
            <w:right w:val="none" w:sz="0" w:space="0" w:color="auto"/>
          </w:divBdr>
        </w:div>
        <w:div w:id="830875289">
          <w:marLeft w:val="634"/>
          <w:marRight w:val="0"/>
          <w:marTop w:val="0"/>
          <w:marBottom w:val="0"/>
          <w:divBdr>
            <w:top w:val="none" w:sz="0" w:space="0" w:color="auto"/>
            <w:left w:val="none" w:sz="0" w:space="0" w:color="auto"/>
            <w:bottom w:val="none" w:sz="0" w:space="0" w:color="auto"/>
            <w:right w:val="none" w:sz="0" w:space="0" w:color="auto"/>
          </w:divBdr>
        </w:div>
      </w:divsChild>
    </w:div>
    <w:div w:id="1550728055">
      <w:bodyDiv w:val="1"/>
      <w:marLeft w:val="0"/>
      <w:marRight w:val="0"/>
      <w:marTop w:val="0"/>
      <w:marBottom w:val="0"/>
      <w:divBdr>
        <w:top w:val="none" w:sz="0" w:space="0" w:color="auto"/>
        <w:left w:val="none" w:sz="0" w:space="0" w:color="auto"/>
        <w:bottom w:val="none" w:sz="0" w:space="0" w:color="auto"/>
        <w:right w:val="none" w:sz="0" w:space="0" w:color="auto"/>
      </w:divBdr>
    </w:div>
    <w:div w:id="1581717541">
      <w:bodyDiv w:val="1"/>
      <w:marLeft w:val="0"/>
      <w:marRight w:val="0"/>
      <w:marTop w:val="0"/>
      <w:marBottom w:val="0"/>
      <w:divBdr>
        <w:top w:val="none" w:sz="0" w:space="0" w:color="auto"/>
        <w:left w:val="none" w:sz="0" w:space="0" w:color="auto"/>
        <w:bottom w:val="none" w:sz="0" w:space="0" w:color="auto"/>
        <w:right w:val="none" w:sz="0" w:space="0" w:color="auto"/>
      </w:divBdr>
      <w:divsChild>
        <w:div w:id="1598100010">
          <w:marLeft w:val="547"/>
          <w:marRight w:val="0"/>
          <w:marTop w:val="0"/>
          <w:marBottom w:val="0"/>
          <w:divBdr>
            <w:top w:val="none" w:sz="0" w:space="0" w:color="auto"/>
            <w:left w:val="none" w:sz="0" w:space="0" w:color="auto"/>
            <w:bottom w:val="none" w:sz="0" w:space="0" w:color="auto"/>
            <w:right w:val="none" w:sz="0" w:space="0" w:color="auto"/>
          </w:divBdr>
        </w:div>
      </w:divsChild>
    </w:div>
    <w:div w:id="1601404897">
      <w:bodyDiv w:val="1"/>
      <w:marLeft w:val="0"/>
      <w:marRight w:val="0"/>
      <w:marTop w:val="0"/>
      <w:marBottom w:val="0"/>
      <w:divBdr>
        <w:top w:val="none" w:sz="0" w:space="0" w:color="auto"/>
        <w:left w:val="none" w:sz="0" w:space="0" w:color="auto"/>
        <w:bottom w:val="none" w:sz="0" w:space="0" w:color="auto"/>
        <w:right w:val="none" w:sz="0" w:space="0" w:color="auto"/>
      </w:divBdr>
    </w:div>
    <w:div w:id="1604680496">
      <w:bodyDiv w:val="1"/>
      <w:marLeft w:val="0"/>
      <w:marRight w:val="0"/>
      <w:marTop w:val="0"/>
      <w:marBottom w:val="0"/>
      <w:divBdr>
        <w:top w:val="none" w:sz="0" w:space="0" w:color="auto"/>
        <w:left w:val="none" w:sz="0" w:space="0" w:color="auto"/>
        <w:bottom w:val="none" w:sz="0" w:space="0" w:color="auto"/>
        <w:right w:val="none" w:sz="0" w:space="0" w:color="auto"/>
      </w:divBdr>
    </w:div>
    <w:div w:id="1637762640">
      <w:bodyDiv w:val="1"/>
      <w:marLeft w:val="0"/>
      <w:marRight w:val="0"/>
      <w:marTop w:val="0"/>
      <w:marBottom w:val="0"/>
      <w:divBdr>
        <w:top w:val="none" w:sz="0" w:space="0" w:color="auto"/>
        <w:left w:val="none" w:sz="0" w:space="0" w:color="auto"/>
        <w:bottom w:val="none" w:sz="0" w:space="0" w:color="auto"/>
        <w:right w:val="none" w:sz="0" w:space="0" w:color="auto"/>
      </w:divBdr>
      <w:divsChild>
        <w:div w:id="107043237">
          <w:marLeft w:val="547"/>
          <w:marRight w:val="0"/>
          <w:marTop w:val="0"/>
          <w:marBottom w:val="0"/>
          <w:divBdr>
            <w:top w:val="none" w:sz="0" w:space="0" w:color="auto"/>
            <w:left w:val="none" w:sz="0" w:space="0" w:color="auto"/>
            <w:bottom w:val="none" w:sz="0" w:space="0" w:color="auto"/>
            <w:right w:val="none" w:sz="0" w:space="0" w:color="auto"/>
          </w:divBdr>
        </w:div>
        <w:div w:id="1327786084">
          <w:marLeft w:val="547"/>
          <w:marRight w:val="0"/>
          <w:marTop w:val="0"/>
          <w:marBottom w:val="0"/>
          <w:divBdr>
            <w:top w:val="none" w:sz="0" w:space="0" w:color="auto"/>
            <w:left w:val="none" w:sz="0" w:space="0" w:color="auto"/>
            <w:bottom w:val="none" w:sz="0" w:space="0" w:color="auto"/>
            <w:right w:val="none" w:sz="0" w:space="0" w:color="auto"/>
          </w:divBdr>
        </w:div>
      </w:divsChild>
    </w:div>
    <w:div w:id="1642927721">
      <w:bodyDiv w:val="1"/>
      <w:marLeft w:val="0"/>
      <w:marRight w:val="0"/>
      <w:marTop w:val="0"/>
      <w:marBottom w:val="0"/>
      <w:divBdr>
        <w:top w:val="none" w:sz="0" w:space="0" w:color="auto"/>
        <w:left w:val="none" w:sz="0" w:space="0" w:color="auto"/>
        <w:bottom w:val="none" w:sz="0" w:space="0" w:color="auto"/>
        <w:right w:val="none" w:sz="0" w:space="0" w:color="auto"/>
      </w:divBdr>
    </w:div>
    <w:div w:id="1671835376">
      <w:bodyDiv w:val="1"/>
      <w:marLeft w:val="0"/>
      <w:marRight w:val="0"/>
      <w:marTop w:val="0"/>
      <w:marBottom w:val="0"/>
      <w:divBdr>
        <w:top w:val="none" w:sz="0" w:space="0" w:color="auto"/>
        <w:left w:val="none" w:sz="0" w:space="0" w:color="auto"/>
        <w:bottom w:val="none" w:sz="0" w:space="0" w:color="auto"/>
        <w:right w:val="none" w:sz="0" w:space="0" w:color="auto"/>
      </w:divBdr>
    </w:div>
    <w:div w:id="1732803941">
      <w:bodyDiv w:val="1"/>
      <w:marLeft w:val="0"/>
      <w:marRight w:val="0"/>
      <w:marTop w:val="0"/>
      <w:marBottom w:val="0"/>
      <w:divBdr>
        <w:top w:val="none" w:sz="0" w:space="0" w:color="auto"/>
        <w:left w:val="none" w:sz="0" w:space="0" w:color="auto"/>
        <w:bottom w:val="none" w:sz="0" w:space="0" w:color="auto"/>
        <w:right w:val="none" w:sz="0" w:space="0" w:color="auto"/>
      </w:divBdr>
    </w:div>
    <w:div w:id="1735740585">
      <w:bodyDiv w:val="1"/>
      <w:marLeft w:val="0"/>
      <w:marRight w:val="0"/>
      <w:marTop w:val="0"/>
      <w:marBottom w:val="0"/>
      <w:divBdr>
        <w:top w:val="none" w:sz="0" w:space="0" w:color="auto"/>
        <w:left w:val="none" w:sz="0" w:space="0" w:color="auto"/>
        <w:bottom w:val="none" w:sz="0" w:space="0" w:color="auto"/>
        <w:right w:val="none" w:sz="0" w:space="0" w:color="auto"/>
      </w:divBdr>
    </w:div>
    <w:div w:id="1739937374">
      <w:bodyDiv w:val="1"/>
      <w:marLeft w:val="0"/>
      <w:marRight w:val="0"/>
      <w:marTop w:val="0"/>
      <w:marBottom w:val="0"/>
      <w:divBdr>
        <w:top w:val="none" w:sz="0" w:space="0" w:color="auto"/>
        <w:left w:val="none" w:sz="0" w:space="0" w:color="auto"/>
        <w:bottom w:val="none" w:sz="0" w:space="0" w:color="auto"/>
        <w:right w:val="none" w:sz="0" w:space="0" w:color="auto"/>
      </w:divBdr>
    </w:div>
    <w:div w:id="1749495637">
      <w:bodyDiv w:val="1"/>
      <w:marLeft w:val="0"/>
      <w:marRight w:val="0"/>
      <w:marTop w:val="0"/>
      <w:marBottom w:val="0"/>
      <w:divBdr>
        <w:top w:val="none" w:sz="0" w:space="0" w:color="auto"/>
        <w:left w:val="none" w:sz="0" w:space="0" w:color="auto"/>
        <w:bottom w:val="none" w:sz="0" w:space="0" w:color="auto"/>
        <w:right w:val="none" w:sz="0" w:space="0" w:color="auto"/>
      </w:divBdr>
    </w:div>
    <w:div w:id="1761026033">
      <w:bodyDiv w:val="1"/>
      <w:marLeft w:val="0"/>
      <w:marRight w:val="0"/>
      <w:marTop w:val="0"/>
      <w:marBottom w:val="0"/>
      <w:divBdr>
        <w:top w:val="none" w:sz="0" w:space="0" w:color="auto"/>
        <w:left w:val="none" w:sz="0" w:space="0" w:color="auto"/>
        <w:bottom w:val="none" w:sz="0" w:space="0" w:color="auto"/>
        <w:right w:val="none" w:sz="0" w:space="0" w:color="auto"/>
      </w:divBdr>
    </w:div>
    <w:div w:id="1810900731">
      <w:bodyDiv w:val="1"/>
      <w:marLeft w:val="0"/>
      <w:marRight w:val="0"/>
      <w:marTop w:val="0"/>
      <w:marBottom w:val="0"/>
      <w:divBdr>
        <w:top w:val="none" w:sz="0" w:space="0" w:color="auto"/>
        <w:left w:val="none" w:sz="0" w:space="0" w:color="auto"/>
        <w:bottom w:val="none" w:sz="0" w:space="0" w:color="auto"/>
        <w:right w:val="none" w:sz="0" w:space="0" w:color="auto"/>
      </w:divBdr>
    </w:div>
    <w:div w:id="1837720709">
      <w:bodyDiv w:val="1"/>
      <w:marLeft w:val="0"/>
      <w:marRight w:val="0"/>
      <w:marTop w:val="0"/>
      <w:marBottom w:val="0"/>
      <w:divBdr>
        <w:top w:val="none" w:sz="0" w:space="0" w:color="auto"/>
        <w:left w:val="none" w:sz="0" w:space="0" w:color="auto"/>
        <w:bottom w:val="none" w:sz="0" w:space="0" w:color="auto"/>
        <w:right w:val="none" w:sz="0" w:space="0" w:color="auto"/>
      </w:divBdr>
    </w:div>
    <w:div w:id="1893930243">
      <w:bodyDiv w:val="1"/>
      <w:marLeft w:val="0"/>
      <w:marRight w:val="0"/>
      <w:marTop w:val="0"/>
      <w:marBottom w:val="0"/>
      <w:divBdr>
        <w:top w:val="none" w:sz="0" w:space="0" w:color="auto"/>
        <w:left w:val="none" w:sz="0" w:space="0" w:color="auto"/>
        <w:bottom w:val="none" w:sz="0" w:space="0" w:color="auto"/>
        <w:right w:val="none" w:sz="0" w:space="0" w:color="auto"/>
      </w:divBdr>
    </w:div>
    <w:div w:id="1902325917">
      <w:bodyDiv w:val="1"/>
      <w:marLeft w:val="0"/>
      <w:marRight w:val="0"/>
      <w:marTop w:val="0"/>
      <w:marBottom w:val="0"/>
      <w:divBdr>
        <w:top w:val="none" w:sz="0" w:space="0" w:color="auto"/>
        <w:left w:val="none" w:sz="0" w:space="0" w:color="auto"/>
        <w:bottom w:val="none" w:sz="0" w:space="0" w:color="auto"/>
        <w:right w:val="none" w:sz="0" w:space="0" w:color="auto"/>
      </w:divBdr>
    </w:div>
    <w:div w:id="1934167394">
      <w:bodyDiv w:val="1"/>
      <w:marLeft w:val="0"/>
      <w:marRight w:val="0"/>
      <w:marTop w:val="0"/>
      <w:marBottom w:val="0"/>
      <w:divBdr>
        <w:top w:val="none" w:sz="0" w:space="0" w:color="auto"/>
        <w:left w:val="none" w:sz="0" w:space="0" w:color="auto"/>
        <w:bottom w:val="none" w:sz="0" w:space="0" w:color="auto"/>
        <w:right w:val="none" w:sz="0" w:space="0" w:color="auto"/>
      </w:divBdr>
    </w:div>
    <w:div w:id="2046370062">
      <w:bodyDiv w:val="1"/>
      <w:marLeft w:val="0"/>
      <w:marRight w:val="0"/>
      <w:marTop w:val="0"/>
      <w:marBottom w:val="0"/>
      <w:divBdr>
        <w:top w:val="none" w:sz="0" w:space="0" w:color="auto"/>
        <w:left w:val="none" w:sz="0" w:space="0" w:color="auto"/>
        <w:bottom w:val="none" w:sz="0" w:space="0" w:color="auto"/>
        <w:right w:val="none" w:sz="0" w:space="0" w:color="auto"/>
      </w:divBdr>
    </w:div>
    <w:div w:id="2058583263">
      <w:bodyDiv w:val="1"/>
      <w:marLeft w:val="0"/>
      <w:marRight w:val="0"/>
      <w:marTop w:val="0"/>
      <w:marBottom w:val="0"/>
      <w:divBdr>
        <w:top w:val="none" w:sz="0" w:space="0" w:color="auto"/>
        <w:left w:val="none" w:sz="0" w:space="0" w:color="auto"/>
        <w:bottom w:val="none" w:sz="0" w:space="0" w:color="auto"/>
        <w:right w:val="none" w:sz="0" w:space="0" w:color="auto"/>
      </w:divBdr>
    </w:div>
    <w:div w:id="2059159553">
      <w:bodyDiv w:val="1"/>
      <w:marLeft w:val="0"/>
      <w:marRight w:val="0"/>
      <w:marTop w:val="0"/>
      <w:marBottom w:val="0"/>
      <w:divBdr>
        <w:top w:val="none" w:sz="0" w:space="0" w:color="auto"/>
        <w:left w:val="none" w:sz="0" w:space="0" w:color="auto"/>
        <w:bottom w:val="none" w:sz="0" w:space="0" w:color="auto"/>
        <w:right w:val="none" w:sz="0" w:space="0" w:color="auto"/>
      </w:divBdr>
    </w:div>
    <w:div w:id="2119787704">
      <w:bodyDiv w:val="1"/>
      <w:marLeft w:val="0"/>
      <w:marRight w:val="0"/>
      <w:marTop w:val="0"/>
      <w:marBottom w:val="0"/>
      <w:divBdr>
        <w:top w:val="none" w:sz="0" w:space="0" w:color="auto"/>
        <w:left w:val="none" w:sz="0" w:space="0" w:color="auto"/>
        <w:bottom w:val="none" w:sz="0" w:space="0" w:color="auto"/>
        <w:right w:val="none" w:sz="0" w:space="0" w:color="auto"/>
      </w:divBdr>
    </w:div>
    <w:div w:id="2125804943">
      <w:bodyDiv w:val="1"/>
      <w:marLeft w:val="0"/>
      <w:marRight w:val="0"/>
      <w:marTop w:val="0"/>
      <w:marBottom w:val="0"/>
      <w:divBdr>
        <w:top w:val="none" w:sz="0" w:space="0" w:color="auto"/>
        <w:left w:val="none" w:sz="0" w:space="0" w:color="auto"/>
        <w:bottom w:val="none" w:sz="0" w:space="0" w:color="auto"/>
        <w:right w:val="none" w:sz="0" w:space="0" w:color="auto"/>
      </w:divBdr>
    </w:div>
    <w:div w:id="2138990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footer" Target="footer2.xml"/><Relationship Id="rId26" Type="http://schemas.openxmlformats.org/officeDocument/2006/relationships/oleObject" Target="embeddings/oleObject2.bin"/><Relationship Id="rId39" Type="http://schemas.openxmlformats.org/officeDocument/2006/relationships/customXml" Target="../customXml/item4.xml"/><Relationship Id="rId21" Type="http://schemas.openxmlformats.org/officeDocument/2006/relationships/chart" Target="charts/chart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image" Target="media/image6.png"/><Relationship Id="rId33" Type="http://schemas.openxmlformats.org/officeDocument/2006/relationships/header" Target="header3.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6.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5.png"/><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stadisticas@defensajuridica.gov.co"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oleObject" Target="embeddings/oleObject4.bin"/><Relationship Id="rId35"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ana.tautiva\AppData\Local\Microsoft\Windows\Temporary%20Internet%20Files\Content.Outlook\KGGFQQNO\Nuevo%20Reporte%20Ministros%202000-2013.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johannatautivapradere:Downloads:EXCEL%20GRAFICO%20MINISTROS%202-3.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johannatautivapradere:Downloads:EXCEL%20GRAFICO%20MINISTROS%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duardo%20Cede&#241;o\Desktop\ANDJE\MES%201\Excel%20Reporte%20Ministr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duardo%20Cede&#241;o\Desktop\ANDJE\MES%201\Excel%20Reporte%20Ministr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avid.jimenez\Documents\IES\INFO%20FUGCC\1%20INFORME\SOPOR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31303225007129"/>
          <c:y val="4.9771007052377171E-2"/>
          <c:w val="0.74788140514986789"/>
          <c:h val="0.80034308861697523"/>
        </c:manualLayout>
      </c:layout>
      <c:areaChart>
        <c:grouping val="standard"/>
        <c:varyColors val="0"/>
        <c:ser>
          <c:idx val="0"/>
          <c:order val="0"/>
          <c:tx>
            <c:strRef>
              <c:f>'[Nuevo Reporte Ministros 2000-2013.xlsx]PAGOS APROPIACIONES'!$D$2</c:f>
              <c:strCache>
                <c:ptCount val="1"/>
                <c:pt idx="0">
                  <c:v>Apropiación Vigente </c:v>
                </c:pt>
              </c:strCache>
            </c:strRef>
          </c:tx>
          <c:cat>
            <c:numRef>
              <c:f>'[Nuevo Reporte Ministros 2000-2013.xlsx]PAGOS APROPIACIONES'!$A$3:$A$16</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'[Nuevo Reporte Ministros 2000-2013.xlsx]PAGOS APROPIACIONES'!$D$3:$D$16</c:f>
              <c:numCache>
                <c:formatCode>_("$"* #,##0_);_("$"* \(#,##0\);_("$"* "-"??_);_(@_)</c:formatCode>
                <c:ptCount val="14"/>
                <c:pt idx="0">
                  <c:v>380401635243.05066</c:v>
                </c:pt>
                <c:pt idx="1">
                  <c:v>344710356651.54816</c:v>
                </c:pt>
                <c:pt idx="2">
                  <c:v>311371579185.84955</c:v>
                </c:pt>
                <c:pt idx="3">
                  <c:v>302061651566.12598</c:v>
                </c:pt>
                <c:pt idx="4">
                  <c:v>351993239865.65497</c:v>
                </c:pt>
                <c:pt idx="5">
                  <c:v>434622643403.41608</c:v>
                </c:pt>
                <c:pt idx="6">
                  <c:v>408808343191.36163</c:v>
                </c:pt>
                <c:pt idx="7">
                  <c:v>534120391630.49573</c:v>
                </c:pt>
                <c:pt idx="8">
                  <c:v>543375014952.41516</c:v>
                </c:pt>
                <c:pt idx="9">
                  <c:v>934392335391.37891</c:v>
                </c:pt>
                <c:pt idx="10">
                  <c:v>776381314298.29822</c:v>
                </c:pt>
                <c:pt idx="11">
                  <c:v>963860184814.55603</c:v>
                </c:pt>
                <c:pt idx="12">
                  <c:v>1345627571941.6895</c:v>
                </c:pt>
                <c:pt idx="13">
                  <c:v>1075361159011</c:v>
                </c:pt>
              </c:numCache>
            </c:numRef>
          </c:val>
        </c:ser>
        <c:ser>
          <c:idx val="1"/>
          <c:order val="1"/>
          <c:tx>
            <c:strRef>
              <c:f>'[Nuevo Reporte Ministros 2000-2013.xlsx]PAGOS APROPIACIONES'!$E$2</c:f>
              <c:strCache>
                <c:ptCount val="1"/>
                <c:pt idx="0">
                  <c:v>Pago</c:v>
                </c:pt>
              </c:strCache>
            </c:strRef>
          </c:tx>
          <c:cat>
            <c:numRef>
              <c:f>'[Nuevo Reporte Ministros 2000-2013.xlsx]PAGOS APROPIACIONES'!$A$3:$A$16</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'[Nuevo Reporte Ministros 2000-2013.xlsx]PAGOS APROPIACIONES'!$E$3:$E$16</c:f>
              <c:numCache>
                <c:formatCode>_("$"* #,##0_);_("$"* \(#,##0\);_("$"* "-"??_);_(@_)</c:formatCode>
                <c:ptCount val="14"/>
                <c:pt idx="0">
                  <c:v>201032475562.73141</c:v>
                </c:pt>
                <c:pt idx="1">
                  <c:v>194586134971.01352</c:v>
                </c:pt>
                <c:pt idx="2">
                  <c:v>116480947675.89767</c:v>
                </c:pt>
                <c:pt idx="3">
                  <c:v>181139932641.39825</c:v>
                </c:pt>
                <c:pt idx="4">
                  <c:v>232846834351.80573</c:v>
                </c:pt>
                <c:pt idx="5">
                  <c:v>281282662482.0882</c:v>
                </c:pt>
                <c:pt idx="6">
                  <c:v>325357714780.65118</c:v>
                </c:pt>
                <c:pt idx="7">
                  <c:v>393127886907.46252</c:v>
                </c:pt>
                <c:pt idx="8">
                  <c:v>444087093033.24866</c:v>
                </c:pt>
                <c:pt idx="9">
                  <c:v>546797139448.2027</c:v>
                </c:pt>
                <c:pt idx="10">
                  <c:v>675892337874.21021</c:v>
                </c:pt>
                <c:pt idx="11">
                  <c:v>848380876005.95605</c:v>
                </c:pt>
                <c:pt idx="12">
                  <c:v>1190432417663.2654</c:v>
                </c:pt>
                <c:pt idx="13">
                  <c:v>565158532173.88</c:v>
                </c:pt>
              </c:numCache>
            </c:numRef>
          </c:val>
        </c:ser>
        <c:dLbls>
          <c:showLegendKey val="0"/>
          <c:showVal val="0"/>
          <c:showCatName val="0"/>
          <c:showSerName val="0"/>
          <c:showPercent val="0"/>
          <c:showBubbleSize val="0"/>
        </c:dLbls>
        <c:axId val="339499072"/>
        <c:axId val="339494592"/>
      </c:areaChart>
      <c:catAx>
        <c:axId val="339499072"/>
        <c:scaling>
          <c:orientation val="minMax"/>
        </c:scaling>
        <c:delete val="0"/>
        <c:axPos val="b"/>
        <c:numFmt formatCode="General" sourceLinked="1"/>
        <c:majorTickMark val="none"/>
        <c:minorTickMark val="none"/>
        <c:tickLblPos val="nextTo"/>
        <c:txPr>
          <a:bodyPr/>
          <a:lstStyle/>
          <a:p>
            <a:pPr>
              <a:defRPr sz="900"/>
            </a:pPr>
            <a:endParaRPr lang="es-CO"/>
          </a:p>
        </c:txPr>
        <c:crossAx val="339494592"/>
        <c:crosses val="autoZero"/>
        <c:auto val="1"/>
        <c:lblAlgn val="ctr"/>
        <c:lblOffset val="100"/>
        <c:noMultiLvlLbl val="0"/>
      </c:catAx>
      <c:valAx>
        <c:axId val="339494592"/>
        <c:scaling>
          <c:orientation val="minMax"/>
        </c:scaling>
        <c:delete val="0"/>
        <c:axPos val="l"/>
        <c:majorGridlines>
          <c:spPr>
            <a:ln>
              <a:prstDash val="dash"/>
            </a:ln>
          </c:spPr>
        </c:majorGridlines>
        <c:numFmt formatCode="_(&quot;$&quot;* #,##0_);_(&quot;$&quot;* \(#,##0\);_(&quot;$&quot;* &quot;-&quot;??_);_(@_)" sourceLinked="1"/>
        <c:majorTickMark val="none"/>
        <c:minorTickMark val="none"/>
        <c:tickLblPos val="nextTo"/>
        <c:txPr>
          <a:bodyPr/>
          <a:lstStyle/>
          <a:p>
            <a:pPr>
              <a:defRPr sz="900">
                <a:latin typeface="+mj-lt"/>
              </a:defRPr>
            </a:pPr>
            <a:endParaRPr lang="es-CO"/>
          </a:p>
        </c:txPr>
        <c:crossAx val="339499072"/>
        <c:crosses val="autoZero"/>
        <c:crossBetween val="midCat"/>
        <c:dispUnits>
          <c:builtInUnit val="millions"/>
          <c:dispUnitsLbl>
            <c:layout>
              <c:manualLayout>
                <c:xMode val="edge"/>
                <c:yMode val="edge"/>
                <c:x val="3.0733114882378863E-3"/>
                <c:y val="0.79769366329208902"/>
              </c:manualLayout>
            </c:layout>
            <c:txPr>
              <a:bodyPr/>
              <a:lstStyle/>
              <a:p>
                <a:pPr>
                  <a:defRPr>
                    <a:latin typeface="+mn-lt"/>
                  </a:defRPr>
                </a:pPr>
                <a:endParaRPr lang="es-CO"/>
              </a:p>
            </c:txPr>
          </c:dispUnitsLbl>
        </c:dispUnits>
      </c:valAx>
    </c:plotArea>
    <c:legend>
      <c:legendPos val="tr"/>
      <c:layout>
        <c:manualLayout>
          <c:xMode val="edge"/>
          <c:yMode val="edge"/>
          <c:x val="0.52454638822321076"/>
          <c:y val="5.8491443270136896E-2"/>
          <c:w val="0.45404150568135515"/>
          <c:h val="0.16363723811881986"/>
        </c:manualLayout>
      </c:layout>
      <c:overlay val="1"/>
      <c:txPr>
        <a:bodyPr/>
        <a:lstStyle/>
        <a:p>
          <a:pPr>
            <a:defRPr sz="900"/>
          </a:pPr>
          <a:endParaRPr lang="es-CO"/>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152559055118111"/>
          <c:y val="3.3205619412516027E-2"/>
          <c:w val="0.831207903795118"/>
          <c:h val="0.79006198012395956"/>
        </c:manualLayout>
      </c:layout>
      <c:areaChart>
        <c:grouping val="stacked"/>
        <c:varyColors val="0"/>
        <c:ser>
          <c:idx val="0"/>
          <c:order val="0"/>
          <c:tx>
            <c:strRef>
              <c:f>'[EXCEL%20GRAFICO%20MINISTROS%202-3.xlsx]Gráfico 2'!$C$21</c:f>
              <c:strCache>
                <c:ptCount val="1"/>
                <c:pt idx="0">
                  <c:v>DEFENSA </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dLbls>
            <c:dLbl>
              <c:idx val="0"/>
              <c:delete val="1"/>
              <c:extLst>
                <c:ext xmlns:c15="http://schemas.microsoft.com/office/drawing/2012/chart" uri="{CE6537A1-D6FC-4f65-9D91-7224C49458BB}"/>
              </c:extLst>
            </c:dLbl>
            <c:dLbl>
              <c:idx val="1"/>
              <c:layout>
                <c:manualLayout>
                  <c:x val="0"/>
                  <c:y val="-0.15359553176634919"/>
                </c:manualLayout>
              </c:layout>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3.7078235076010452E-3"/>
                  <c:y val="-0.14428671165929699"/>
                </c:manualLayout>
              </c:layout>
              <c:showLegendKey val="0"/>
              <c:showVal val="1"/>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layout>
                <c:manualLayout>
                  <c:x val="1.1123470522803101E-2"/>
                  <c:y val="-0.139632301605771"/>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1123470522803101E-2"/>
                  <c:y val="-8.843379101698858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4831294030404198E-2"/>
                  <c:y val="-0.18617640214102918"/>
                </c:manualLayout>
              </c:layout>
              <c:showLegendKey val="0"/>
              <c:showVal val="1"/>
              <c:showCatName val="0"/>
              <c:showSerName val="0"/>
              <c:showPercent val="0"/>
              <c:showBubbleSize val="0"/>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layout>
                <c:manualLayout>
                  <c:x val="2.2246941045606202E-2"/>
                  <c:y val="-0.2373749127298109"/>
                </c:manualLayout>
              </c:layout>
              <c:showLegendKey val="0"/>
              <c:showVal val="1"/>
              <c:showCatName val="0"/>
              <c:showSerName val="0"/>
              <c:showPercent val="0"/>
              <c:showBubbleSize val="0"/>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layout>
                <c:manualLayout>
                  <c:x val="-3.3370411568409315E-2"/>
                  <c:y val="-0.22341168256923419"/>
                </c:manualLayout>
              </c:layout>
              <c:showLegendKey val="0"/>
              <c:showVal val="1"/>
              <c:showCatName val="0"/>
              <c:showSerName val="0"/>
              <c:showPercent val="0"/>
              <c:showBubbleSize val="0"/>
              <c:extLst>
                <c:ext xmlns:c15="http://schemas.microsoft.com/office/drawing/2012/chart" uri="{CE6537A1-D6FC-4f65-9D91-7224C49458BB}"/>
              </c:extLst>
            </c:dLbl>
            <c:dLbl>
              <c:idx val="13"/>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Arial"/>
                    <a:ea typeface="+mn-ea"/>
                    <a:cs typeface="Arial"/>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'[EXCEL%20GRAFICO%20MINISTROS%202-3.xlsx]Gráfico 2'!$B$22:$B$35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'[EXCEL%20GRAFICO%20MINISTROS%202-3.xlsx]Gráfico 2'!$C$22:$C$35</c:f>
              <c:numCache>
                <c:formatCode>0%</c:formatCode>
                <c:ptCount val="14"/>
                <c:pt idx="0">
                  <c:v>0.27406101212217593</c:v>
                </c:pt>
                <c:pt idx="1">
                  <c:v>0.39423941391502398</c:v>
                </c:pt>
                <c:pt idx="2">
                  <c:v>0.41105439924891435</c:v>
                </c:pt>
                <c:pt idx="3">
                  <c:v>0.41342077589185267</c:v>
                </c:pt>
                <c:pt idx="4">
                  <c:v>0.43613314012807503</c:v>
                </c:pt>
                <c:pt idx="5">
                  <c:v>0.42210974835359399</c:v>
                </c:pt>
                <c:pt idx="6">
                  <c:v>0.34406723349762602</c:v>
                </c:pt>
                <c:pt idx="7">
                  <c:v>0.5216395823065304</c:v>
                </c:pt>
                <c:pt idx="8">
                  <c:v>0.60250729763988475</c:v>
                </c:pt>
                <c:pt idx="9">
                  <c:v>0.59537884540430197</c:v>
                </c:pt>
                <c:pt idx="10">
                  <c:v>0.69708577946674799</c:v>
                </c:pt>
                <c:pt idx="11">
                  <c:v>0.70267020956354376</c:v>
                </c:pt>
                <c:pt idx="12">
                  <c:v>0.63290147489609572</c:v>
                </c:pt>
                <c:pt idx="13">
                  <c:v>0.69294939846278458</c:v>
                </c:pt>
              </c:numCache>
            </c:numRef>
          </c:val>
        </c:ser>
        <c:ser>
          <c:idx val="1"/>
          <c:order val="1"/>
          <c:tx>
            <c:strRef>
              <c:f>'[EXCEL%20GRAFICO%20MINISTROS%202-3.xlsx]Gráfico 2'!$D$21</c:f>
              <c:strCache>
                <c:ptCount val="1"/>
                <c:pt idx="0">
                  <c:v>TRANSPORTE</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c:spPr>
          <c:dLbls>
            <c:dLbl>
              <c:idx val="0"/>
              <c:delete val="1"/>
              <c:extLst>
                <c:ext xmlns:c15="http://schemas.microsoft.com/office/drawing/2012/chart" uri="{CE6537A1-D6FC-4f65-9D91-7224C49458BB}"/>
              </c:extLst>
            </c:dLbl>
            <c:dLbl>
              <c:idx val="1"/>
              <c:layout>
                <c:manualLayout>
                  <c:x val="0"/>
                  <c:y val="-3.723528042820575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4156470152020818E-3"/>
                  <c:y val="-4.654410053525704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600" b="1" i="0" u="none" strike="noStrike" kern="1200" baseline="0">
                    <a:solidFill>
                      <a:srgbClr val="FFFFFF"/>
                    </a:solidFill>
                    <a:latin typeface="Arial"/>
                    <a:ea typeface="+mn-ea"/>
                    <a:cs typeface="Arial"/>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'[EXCEL%20GRAFICO%20MINISTROS%202-3.xlsx]Gráfico 2'!$B$22:$B$35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'[EXCEL%20GRAFICO%20MINISTROS%202-3.xlsx]Gráfico 2'!$D$22:$D$35</c:f>
              <c:numCache>
                <c:formatCode>0%</c:formatCode>
                <c:ptCount val="14"/>
                <c:pt idx="0">
                  <c:v>0.22848389816657011</c:v>
                </c:pt>
                <c:pt idx="1">
                  <c:v>0.32829668916946053</c:v>
                </c:pt>
                <c:pt idx="2">
                  <c:v>0.23419739769215911</c:v>
                </c:pt>
                <c:pt idx="3">
                  <c:v>0.24938159040207111</c:v>
                </c:pt>
                <c:pt idx="4">
                  <c:v>0.20779752178896299</c:v>
                </c:pt>
                <c:pt idx="5">
                  <c:v>0.121915754895392</c:v>
                </c:pt>
                <c:pt idx="6">
                  <c:v>0.11712316831406902</c:v>
                </c:pt>
                <c:pt idx="7">
                  <c:v>0.11377627157280608</c:v>
                </c:pt>
                <c:pt idx="8">
                  <c:v>5.7931319640840404E-2</c:v>
                </c:pt>
                <c:pt idx="9">
                  <c:v>0.13295310071124411</c:v>
                </c:pt>
                <c:pt idx="10">
                  <c:v>3.3971299359820128E-2</c:v>
                </c:pt>
                <c:pt idx="11">
                  <c:v>2.6859078237594518E-2</c:v>
                </c:pt>
                <c:pt idx="12">
                  <c:v>0.16079527728396401</c:v>
                </c:pt>
                <c:pt idx="13">
                  <c:v>4.3234062913134003E-2</c:v>
                </c:pt>
              </c:numCache>
            </c:numRef>
          </c:val>
        </c:ser>
        <c:ser>
          <c:idx val="2"/>
          <c:order val="2"/>
          <c:tx>
            <c:strRef>
              <c:f>'[EXCEL%20GRAFICO%20MINISTROS%202-3.xlsx]Gráfico 2'!$E$21</c:f>
              <c:strCache>
                <c:ptCount val="1"/>
                <c:pt idx="0">
                  <c:v>HACIENDA</c:v>
                </c:pt>
              </c:strCache>
            </c:strRef>
          </c:tx>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c:spPr>
          <c:dLbls>
            <c:dLbl>
              <c:idx val="1"/>
              <c:layout>
                <c:manualLayout>
                  <c:x val="5.5555555555555462E-3"/>
                  <c:y val="-2.554278416347379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3297E-3"/>
                  <c:y val="-2.5542784163473799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2.7777777777777857E-3"/>
                  <c:y val="-2.5542784163473799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2.7777777777777857E-3"/>
                  <c:y val="-2.80970625798212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600" b="1" i="0" u="none" strike="noStrike" kern="1200" baseline="0">
                    <a:solidFill>
                      <a:srgbClr val="000000"/>
                    </a:solidFill>
                    <a:latin typeface="Arial"/>
                    <a:ea typeface="+mn-ea"/>
                    <a:cs typeface="Arial"/>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'[EXCEL%20GRAFICO%20MINISTROS%202-3.xlsx]Gráfico 2'!$B$22:$B$35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'[EXCEL%20GRAFICO%20MINISTROS%202-3.xlsx]Gráfico 2'!$E$22:$E$35</c:f>
              <c:numCache>
                <c:formatCode>0%</c:formatCode>
                <c:ptCount val="14"/>
                <c:pt idx="0">
                  <c:v>7.6758229483603599E-2</c:v>
                </c:pt>
                <c:pt idx="1">
                  <c:v>2.58206015523329E-2</c:v>
                </c:pt>
                <c:pt idx="2">
                  <c:v>2.5830076285230416E-2</c:v>
                </c:pt>
                <c:pt idx="3">
                  <c:v>4.9774693880054739E-2</c:v>
                </c:pt>
                <c:pt idx="4">
                  <c:v>8.3006549933239623E-2</c:v>
                </c:pt>
                <c:pt idx="5">
                  <c:v>6.8680092052271519E-2</c:v>
                </c:pt>
                <c:pt idx="6">
                  <c:v>0.103309833263925</c:v>
                </c:pt>
                <c:pt idx="7">
                  <c:v>7.0555774335185409E-2</c:v>
                </c:pt>
                <c:pt idx="8">
                  <c:v>6.3523465810958399E-2</c:v>
                </c:pt>
                <c:pt idx="9">
                  <c:v>6.0725582493491401E-2</c:v>
                </c:pt>
                <c:pt idx="10">
                  <c:v>4.5111605049264099E-2</c:v>
                </c:pt>
                <c:pt idx="11">
                  <c:v>5.2977462582332602E-2</c:v>
                </c:pt>
                <c:pt idx="12">
                  <c:v>2.1460640902928402E-2</c:v>
                </c:pt>
                <c:pt idx="13">
                  <c:v>2.0159040654357002E-2</c:v>
                </c:pt>
              </c:numCache>
            </c:numRef>
          </c:val>
        </c:ser>
        <c:ser>
          <c:idx val="3"/>
          <c:order val="3"/>
          <c:tx>
            <c:strRef>
              <c:f>'[EXCEL%20GRAFICO%20MINISTROS%202-3.xlsx]Gráfico 2'!$F$21</c:f>
              <c:strCache>
                <c:ptCount val="1"/>
                <c:pt idx="0">
                  <c:v>INTERIOR Y JUSTICIA</c:v>
                </c:pt>
              </c:strCache>
            </c:strRef>
          </c:tx>
          <c:spPr>
            <a:gradFill rotWithShape="1">
              <a:gsLst>
                <a:gs pos="0">
                  <a:schemeClr val="accent1">
                    <a:lumMod val="60000"/>
                    <a:tint val="100000"/>
                    <a:shade val="100000"/>
                    <a:satMod val="130000"/>
                  </a:schemeClr>
                </a:gs>
                <a:gs pos="100000">
                  <a:schemeClr val="accent1">
                    <a:lumMod val="60000"/>
                    <a:tint val="50000"/>
                    <a:shade val="100000"/>
                    <a:satMod val="350000"/>
                  </a:schemeClr>
                </a:gs>
              </a:gsLst>
              <a:lin ang="16200000" scaled="0"/>
            </a:gradFill>
            <a:ln>
              <a:noFill/>
            </a:ln>
            <a:effectLst>
              <a:outerShdw blurRad="40000" dist="23000" dir="5400000" rotWithShape="0">
                <a:srgbClr val="000000">
                  <a:alpha val="35000"/>
                </a:srgbClr>
              </a:outerShdw>
            </a:effectLst>
          </c:spPr>
          <c:dLbls>
            <c:dLbl>
              <c:idx val="1"/>
              <c:layout>
                <c:manualLayout>
                  <c:x val="4.1666666666666796E-2"/>
                  <c:y val="3.0188679245282981E-2"/>
                </c:manualLayout>
              </c:layout>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Arial"/>
                    <a:ea typeface="+mn-ea"/>
                    <a:cs typeface="Arial"/>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'[EXCEL%20GRAFICO%20MINISTROS%202-3.xlsx]Gráfico 2'!$B$22:$B$35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'[EXCEL%20GRAFICO%20MINISTROS%202-3.xlsx]Gráfico 2'!$F$22:$F$35</c:f>
              <c:numCache>
                <c:formatCode>0%</c:formatCode>
                <c:ptCount val="14"/>
                <c:pt idx="0">
                  <c:v>4.6178366385158348E-2</c:v>
                </c:pt>
                <c:pt idx="1">
                  <c:v>3.3352497548508102E-2</c:v>
                </c:pt>
                <c:pt idx="2">
                  <c:v>8.0816390767686666E-2</c:v>
                </c:pt>
                <c:pt idx="3">
                  <c:v>6.6257759101228705E-2</c:v>
                </c:pt>
                <c:pt idx="4">
                  <c:v>7.9415761010086974E-2</c:v>
                </c:pt>
                <c:pt idx="5">
                  <c:v>0.19871195406842718</c:v>
                </c:pt>
                <c:pt idx="6">
                  <c:v>0.17970457267898088</c:v>
                </c:pt>
                <c:pt idx="7">
                  <c:v>0.117077959341605</c:v>
                </c:pt>
                <c:pt idx="8">
                  <c:v>7.4238716948149153E-2</c:v>
                </c:pt>
                <c:pt idx="9">
                  <c:v>8.7733743339480294E-2</c:v>
                </c:pt>
                <c:pt idx="10">
                  <c:v>0.14406831201156411</c:v>
                </c:pt>
                <c:pt idx="11">
                  <c:v>2.5626336382435201E-2</c:v>
                </c:pt>
                <c:pt idx="12">
                  <c:v>2.14257605986484E-2</c:v>
                </c:pt>
                <c:pt idx="13">
                  <c:v>2.3957847307070727E-2</c:v>
                </c:pt>
              </c:numCache>
            </c:numRef>
          </c:val>
        </c:ser>
        <c:ser>
          <c:idx val="4"/>
          <c:order val="4"/>
          <c:tx>
            <c:strRef>
              <c:f>'[EXCEL%20GRAFICO%20MINISTROS%202-3.xlsx]Gráfico 2'!$G$21</c:f>
              <c:strCache>
                <c:ptCount val="1"/>
                <c:pt idx="0">
                  <c:v>FISCALIA</c:v>
                </c:pt>
              </c:strCache>
            </c:strRef>
          </c:tx>
          <c:spPr>
            <a:gradFill rotWithShape="1">
              <a:gsLst>
                <a:gs pos="0">
                  <a:schemeClr val="accent3">
                    <a:lumMod val="60000"/>
                    <a:tint val="100000"/>
                    <a:shade val="100000"/>
                    <a:satMod val="130000"/>
                  </a:schemeClr>
                </a:gs>
                <a:gs pos="100000">
                  <a:schemeClr val="accent3">
                    <a:lumMod val="60000"/>
                    <a:tint val="50000"/>
                    <a:shade val="100000"/>
                    <a:satMod val="350000"/>
                  </a:schemeClr>
                </a:gs>
              </a:gsLst>
              <a:lin ang="16200000" scaled="0"/>
            </a:gradFill>
            <a:ln>
              <a:noFill/>
            </a:ln>
            <a:effectLst>
              <a:outerShdw blurRad="40000" dist="23000" dir="5400000" rotWithShape="0">
                <a:srgbClr val="000000">
                  <a:alpha val="35000"/>
                </a:srgbClr>
              </a:outerShdw>
            </a:effectLst>
          </c:spPr>
          <c:dLbls>
            <c:dLbl>
              <c:idx val="1"/>
              <c:layout>
                <c:manualLayout>
                  <c:x val="-3.7078235076010452E-3"/>
                  <c:y val="-1.396323016057710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1135878593596295E-2"/>
                  <c:y val="-3.471970006541830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49995625546807E-2"/>
                  <c:y val="4.992819293814784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333333333333201E-2"/>
                  <c:y val="-2.554350517506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7078235076010452E-3"/>
                  <c:y val="1.3962863671596501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1111111111111101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600" b="1" i="0" u="none" strike="noStrike" kern="1200" baseline="0">
                    <a:solidFill>
                      <a:srgbClr val="000000"/>
                    </a:solidFill>
                    <a:latin typeface="Arial"/>
                    <a:ea typeface="+mn-ea"/>
                    <a:cs typeface="Arial"/>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'[EXCEL%20GRAFICO%20MINISTROS%202-3.xlsx]Gráfico 2'!$B$22:$B$35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'[EXCEL%20GRAFICO%20MINISTROS%202-3.xlsx]Gráfico 2'!$G$22:$G$35</c:f>
              <c:numCache>
                <c:formatCode>0%</c:formatCode>
                <c:ptCount val="14"/>
                <c:pt idx="0">
                  <c:v>9.572029239410933E-3</c:v>
                </c:pt>
                <c:pt idx="1">
                  <c:v>1.29564399313083E-2</c:v>
                </c:pt>
                <c:pt idx="2">
                  <c:v>1.8680662879915603E-2</c:v>
                </c:pt>
                <c:pt idx="3">
                  <c:v>8.0098172822120998E-3</c:v>
                </c:pt>
                <c:pt idx="4">
                  <c:v>1.3013396191031998E-2</c:v>
                </c:pt>
                <c:pt idx="5">
                  <c:v>3.3177430015861299E-2</c:v>
                </c:pt>
                <c:pt idx="6">
                  <c:v>3.9164543426917005E-2</c:v>
                </c:pt>
                <c:pt idx="7">
                  <c:v>5.3454169228075096E-2</c:v>
                </c:pt>
                <c:pt idx="8">
                  <c:v>5.2885245525646822E-2</c:v>
                </c:pt>
                <c:pt idx="9">
                  <c:v>5.2150296280843514E-2</c:v>
                </c:pt>
                <c:pt idx="10">
                  <c:v>7.3148517486908093E-2</c:v>
                </c:pt>
                <c:pt idx="11">
                  <c:v>9.7644972653542703E-2</c:v>
                </c:pt>
                <c:pt idx="12">
                  <c:v>6.7605278541705102E-2</c:v>
                </c:pt>
                <c:pt idx="13">
                  <c:v>0.12160706404562402</c:v>
                </c:pt>
              </c:numCache>
            </c:numRef>
          </c:val>
        </c:ser>
        <c:dLbls>
          <c:showLegendKey val="0"/>
          <c:showVal val="0"/>
          <c:showCatName val="0"/>
          <c:showSerName val="0"/>
          <c:showPercent val="0"/>
          <c:showBubbleSize val="0"/>
        </c:dLbls>
        <c:axId val="456763120"/>
        <c:axId val="177707328"/>
      </c:areaChart>
      <c:catAx>
        <c:axId val="45676312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CO"/>
          </a:p>
        </c:txPr>
        <c:crossAx val="177707328"/>
        <c:crosses val="autoZero"/>
        <c:auto val="1"/>
        <c:lblAlgn val="ctr"/>
        <c:lblOffset val="100"/>
        <c:noMultiLvlLbl val="0"/>
      </c:catAx>
      <c:valAx>
        <c:axId val="177707328"/>
        <c:scaling>
          <c:orientation val="minMax"/>
          <c:max val="1"/>
        </c:scaling>
        <c:delete val="0"/>
        <c:axPos val="l"/>
        <c:majorGridlines>
          <c:spPr>
            <a:ln w="9525" cap="flat" cmpd="sng" algn="ctr">
              <a:solidFill>
                <a:schemeClr val="tx1">
                  <a:tint val="75000"/>
                  <a:shade val="95000"/>
                  <a:satMod val="105000"/>
                </a:schemeClr>
              </a:solidFill>
              <a:prstDash val="dash"/>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456763120"/>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legend>
    <c:plotVisOnly val="1"/>
    <c:dispBlanksAs val="zero"/>
    <c:showDLblsOverMax val="0"/>
  </c:chart>
  <c:spPr>
    <a:solidFill>
      <a:schemeClr val="bg1"/>
    </a:solidFill>
    <a:ln w="9525" cap="flat" cmpd="sng" algn="ctr">
      <a:noFill/>
      <a:prstDash val="solid"/>
      <a:round/>
    </a:ln>
    <a:effectLst/>
  </c:spPr>
  <c:txPr>
    <a:bodyPr/>
    <a:lstStyle/>
    <a:p>
      <a:pPr>
        <a:defRPr/>
      </a:pPr>
      <a:endParaRPr lang="es-C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1185057853683783"/>
          <c:y val="6.0185185185185168E-2"/>
          <c:w val="0.86455879634763966"/>
          <c:h val="0.8147014956463775"/>
        </c:manualLayout>
      </c:layout>
      <c:lineChart>
        <c:grouping val="standard"/>
        <c:varyColors val="0"/>
        <c:ser>
          <c:idx val="0"/>
          <c:order val="0"/>
          <c:tx>
            <c:strRef>
              <c:f>'[EXCEL%20GRAFICO%20MINISTROS%202-3.xlsx]Gráfico 2'!$J$3</c:f>
              <c:strCache>
                <c:ptCount val="1"/>
                <c:pt idx="0">
                  <c:v>Apropiación Vigente</c:v>
                </c:pt>
              </c:strCache>
            </c:strRef>
          </c:tx>
          <c:marker>
            <c:symbol val="none"/>
          </c:marker>
          <c:cat>
            <c:numRef>
              <c:f>'[EXCEL%20GRAFICO%20MINISTROS%202-3.xlsx]Gráfico 2'!$I$4:$I$17</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'[EXCEL%20GRAFICO%20MINISTROS%202-3.xlsx]Gráfico 2'!$J$4:$J$17</c:f>
              <c:numCache>
                <c:formatCode>_("$"* #,##0_);_("$"* \(#,##0\);_("$"* "-"??_);_(@_)</c:formatCode>
                <c:ptCount val="14"/>
                <c:pt idx="0">
                  <c:v>206432000000.32986</c:v>
                </c:pt>
                <c:pt idx="1">
                  <c:v>201367000000.46887</c:v>
                </c:pt>
                <c:pt idx="2">
                  <c:v>194611000000.06201</c:v>
                </c:pt>
                <c:pt idx="3">
                  <c:v>201046000000.66299</c:v>
                </c:pt>
                <c:pt idx="4">
                  <c:v>247159000000.992</c:v>
                </c:pt>
                <c:pt idx="5">
                  <c:v>319995000000.104</c:v>
                </c:pt>
                <c:pt idx="6">
                  <c:v>314466998634.07001</c:v>
                </c:pt>
                <c:pt idx="7">
                  <c:v>434255248244.96002</c:v>
                </c:pt>
                <c:pt idx="8">
                  <c:v>475685034537.70001</c:v>
                </c:pt>
                <c:pt idx="9">
                  <c:v>834366629748.08997</c:v>
                </c:pt>
                <c:pt idx="10">
                  <c:v>715255711686.65002</c:v>
                </c:pt>
                <c:pt idx="11">
                  <c:v>921080082065.63</c:v>
                </c:pt>
                <c:pt idx="12">
                  <c:v>1317237810509.6709</c:v>
                </c:pt>
                <c:pt idx="13">
                  <c:v>1075361159011</c:v>
                </c:pt>
              </c:numCache>
            </c:numRef>
          </c:val>
          <c:smooth val="0"/>
        </c:ser>
        <c:dLbls>
          <c:showLegendKey val="0"/>
          <c:showVal val="0"/>
          <c:showCatName val="0"/>
          <c:showSerName val="0"/>
          <c:showPercent val="0"/>
          <c:showBubbleSize val="0"/>
        </c:dLbls>
        <c:smooth val="0"/>
        <c:axId val="172887664"/>
        <c:axId val="172887104"/>
      </c:lineChart>
      <c:catAx>
        <c:axId val="172887664"/>
        <c:scaling>
          <c:orientation val="minMax"/>
        </c:scaling>
        <c:delete val="0"/>
        <c:axPos val="b"/>
        <c:numFmt formatCode="General" sourceLinked="1"/>
        <c:majorTickMark val="out"/>
        <c:minorTickMark val="none"/>
        <c:tickLblPos val="nextTo"/>
        <c:txPr>
          <a:bodyPr/>
          <a:lstStyle/>
          <a:p>
            <a:pPr>
              <a:defRPr sz="800"/>
            </a:pPr>
            <a:endParaRPr lang="es-CO"/>
          </a:p>
        </c:txPr>
        <c:crossAx val="172887104"/>
        <c:crosses val="autoZero"/>
        <c:auto val="1"/>
        <c:lblAlgn val="ctr"/>
        <c:lblOffset val="100"/>
        <c:noMultiLvlLbl val="0"/>
      </c:catAx>
      <c:valAx>
        <c:axId val="172887104"/>
        <c:scaling>
          <c:orientation val="minMax"/>
        </c:scaling>
        <c:delete val="0"/>
        <c:axPos val="l"/>
        <c:majorGridlines>
          <c:spPr>
            <a:ln>
              <a:prstDash val="dash"/>
            </a:ln>
          </c:spPr>
        </c:majorGridlines>
        <c:numFmt formatCode="_(&quot;$&quot;* #,##0_);_(&quot;$&quot;* \(#,##0\);_(&quot;$&quot;* &quot;-&quot;??_);_(@_)" sourceLinked="1"/>
        <c:majorTickMark val="out"/>
        <c:minorTickMark val="none"/>
        <c:tickLblPos val="nextTo"/>
        <c:txPr>
          <a:bodyPr/>
          <a:lstStyle/>
          <a:p>
            <a:pPr>
              <a:defRPr sz="700"/>
            </a:pPr>
            <a:endParaRPr lang="es-CO"/>
          </a:p>
        </c:txPr>
        <c:crossAx val="172887664"/>
        <c:crosses val="autoZero"/>
        <c:crossBetween val="between"/>
        <c:dispUnits>
          <c:builtInUnit val="millions"/>
          <c:dispUnitsLbl>
            <c:layout>
              <c:manualLayout>
                <c:xMode val="edge"/>
                <c:yMode val="edge"/>
                <c:x val="0"/>
                <c:y val="0.73611111111111105"/>
              </c:manualLayout>
            </c:layout>
            <c:txPr>
              <a:bodyPr/>
              <a:lstStyle/>
              <a:p>
                <a:pPr>
                  <a:defRPr sz="800"/>
                </a:pPr>
                <a:endParaRPr lang="es-CO"/>
              </a:p>
            </c:txPr>
          </c:dispUnitsLbl>
        </c:dispUnits>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558999861859363"/>
          <c:y val="4.0716093284038496E-2"/>
          <c:w val="0.87996905649951773"/>
          <c:h val="0.8616611510517711"/>
        </c:manualLayout>
      </c:layout>
      <c:bar3DChart>
        <c:barDir val="col"/>
        <c:grouping val="stacked"/>
        <c:varyColors val="0"/>
        <c:ser>
          <c:idx val="0"/>
          <c:order val="0"/>
          <c:tx>
            <c:strRef>
              <c:f>'PAGOS ADICIONES 2000-2012'!$B$35</c:f>
              <c:strCache>
                <c:ptCount val="1"/>
                <c:pt idx="0">
                  <c:v>INICIAL</c:v>
                </c:pt>
              </c:strCache>
            </c:strRef>
          </c:tx>
          <c:spPr>
            <a:solidFill>
              <a:srgbClr val="A9231D"/>
            </a:solidFill>
          </c:spPr>
          <c:invertIfNegative val="0"/>
          <c:cat>
            <c:numRef>
              <c:f>'PAGOS ADICIONES 2000-2012'!$A$36:$A$43</c:f>
              <c:numCache>
                <c:formatCode>General</c:formatCode>
                <c:ptCount val="8"/>
                <c:pt idx="0">
                  <c:v>2006</c:v>
                </c:pt>
                <c:pt idx="1">
                  <c:v>2007</c:v>
                </c:pt>
                <c:pt idx="2">
                  <c:v>2008</c:v>
                </c:pt>
                <c:pt idx="3">
                  <c:v>2009</c:v>
                </c:pt>
                <c:pt idx="4">
                  <c:v>2010</c:v>
                </c:pt>
                <c:pt idx="5">
                  <c:v>2011</c:v>
                </c:pt>
                <c:pt idx="6">
                  <c:v>2012</c:v>
                </c:pt>
                <c:pt idx="7">
                  <c:v>2013</c:v>
                </c:pt>
              </c:numCache>
            </c:numRef>
          </c:cat>
          <c:val>
            <c:numRef>
              <c:f>'PAGOS ADICIONES 2000-2012'!$B$36:$B$43</c:f>
              <c:numCache>
                <c:formatCode>_("$"\ * #,##0_);_("$"\ * \(#,##0\);_("$"\ * "-"??_);_(@_)</c:formatCode>
                <c:ptCount val="8"/>
                <c:pt idx="0" formatCode="_ &quot;$&quot;\ * #,##0_ ;_ &quot;$&quot;\ * \-#,##0_ ;_ &quot;$&quot;\ * &quot;-&quot;??_ ;_ @_ ">
                  <c:v>234097895772.26999</c:v>
                </c:pt>
                <c:pt idx="1">
                  <c:v>291414711629.42999</c:v>
                </c:pt>
                <c:pt idx="2">
                  <c:v>408800238508.28003</c:v>
                </c:pt>
                <c:pt idx="3">
                  <c:v>795987345819.60999</c:v>
                </c:pt>
                <c:pt idx="4">
                  <c:v>645543250085.66003</c:v>
                </c:pt>
                <c:pt idx="5">
                  <c:v>865329833045</c:v>
                </c:pt>
                <c:pt idx="6">
                  <c:v>918506171330</c:v>
                </c:pt>
                <c:pt idx="7">
                  <c:v>950231888915</c:v>
                </c:pt>
              </c:numCache>
            </c:numRef>
          </c:val>
        </c:ser>
        <c:ser>
          <c:idx val="1"/>
          <c:order val="1"/>
          <c:tx>
            <c:strRef>
              <c:f>'PAGOS ADICIONES 2000-2012'!$C$35</c:f>
              <c:strCache>
                <c:ptCount val="1"/>
                <c:pt idx="0">
                  <c:v>ADICIÓN</c:v>
                </c:pt>
              </c:strCache>
            </c:strRef>
          </c:tx>
          <c:spPr>
            <a:solidFill>
              <a:schemeClr val="accent2">
                <a:lumMod val="60000"/>
                <a:lumOff val="40000"/>
              </a:schemeClr>
            </a:solidFill>
          </c:spPr>
          <c:invertIfNegative val="0"/>
          <c:dLbls>
            <c:dLbl>
              <c:idx val="0"/>
              <c:layout>
                <c:manualLayout>
                  <c:x val="-2.4875621890547298E-3"/>
                  <c:y val="-6.0185185185185085E-2"/>
                </c:manualLayout>
              </c:layout>
              <c:tx>
                <c:rich>
                  <a:bodyPr/>
                  <a:lstStyle/>
                  <a:p>
                    <a:pPr>
                      <a:defRPr lang="es-ES" sz="800"/>
                    </a:pPr>
                    <a:r>
                      <a:rPr lang="en-US" sz="800" b="1"/>
                      <a:t> 25.5%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
              <c:layout>
                <c:manualLayout>
                  <c:x val="-4.5604779969027644E-17"/>
                  <c:y val="-7.8703703703703734E-2"/>
                </c:manualLayout>
              </c:layout>
              <c:tx>
                <c:rich>
                  <a:bodyPr/>
                  <a:lstStyle/>
                  <a:p>
                    <a:pPr>
                      <a:defRPr lang="es-ES" sz="800"/>
                    </a:pPr>
                    <a:r>
                      <a:rPr lang="en-US" sz="800" b="1"/>
                      <a:t>32.9%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5.5555555555555365E-2"/>
                </c:manualLayout>
              </c:layout>
              <c:tx>
                <c:rich>
                  <a:bodyPr/>
                  <a:lstStyle/>
                  <a:p>
                    <a:pPr>
                      <a:defRPr lang="es-ES" sz="800"/>
                    </a:pPr>
                    <a:r>
                      <a:rPr lang="en-US" sz="800" b="1"/>
                      <a:t> 14%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3"/>
              <c:layout>
                <c:manualLayout>
                  <c:x val="7.4626865671641824E-3"/>
                  <c:y val="-6.9444444444444434E-2"/>
                </c:manualLayout>
              </c:layout>
              <c:tx>
                <c:rich>
                  <a:bodyPr/>
                  <a:lstStyle/>
                  <a:p>
                    <a:pPr>
                      <a:defRPr lang="es-ES" sz="800"/>
                    </a:pPr>
                    <a:r>
                      <a:rPr lang="en-US" sz="800" b="1"/>
                      <a:t>  4.6%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4"/>
              <c:layout>
                <c:manualLayout>
                  <c:x val="7.4626865671641824E-3"/>
                  <c:y val="-6.0185185185185085E-2"/>
                </c:manualLayout>
              </c:layout>
              <c:tx>
                <c:rich>
                  <a:bodyPr/>
                  <a:lstStyle/>
                  <a:p>
                    <a:pPr>
                      <a:defRPr lang="es-ES" sz="800"/>
                    </a:pPr>
                    <a:r>
                      <a:rPr lang="en-US" sz="800" b="1"/>
                      <a:t> 9.7%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5"/>
              <c:layout>
                <c:manualLayout>
                  <c:x val="4.9751243781094466E-3"/>
                  <c:y val="-6.0185185185185085E-2"/>
                </c:manualLayout>
              </c:layout>
              <c:tx>
                <c:rich>
                  <a:bodyPr/>
                  <a:lstStyle/>
                  <a:p>
                    <a:pPr>
                      <a:defRPr lang="es-ES" sz="800"/>
                    </a:pPr>
                    <a:r>
                      <a:rPr lang="en-US" sz="800" b="1"/>
                      <a:t> 6%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6"/>
              <c:layout>
                <c:manualLayout>
                  <c:x val="1.49252771974932E-2"/>
                  <c:y val="-0.15436863343623919"/>
                </c:manualLayout>
              </c:layout>
              <c:tx>
                <c:rich>
                  <a:bodyPr/>
                  <a:lstStyle/>
                  <a:p>
                    <a:pPr>
                      <a:defRPr lang="es-ES" sz="800"/>
                    </a:pPr>
                    <a:r>
                      <a:rPr lang="en-US" sz="800" b="1"/>
                      <a:t> 30.2%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7"/>
              <c:layout>
                <c:manualLayout>
                  <c:x val="3.2338308457711629E-2"/>
                  <c:y val="-7.8703703703703734E-2"/>
                </c:manualLayout>
              </c:layout>
              <c:tx>
                <c:rich>
                  <a:bodyPr/>
                  <a:lstStyle/>
                  <a:p>
                    <a:pPr>
                      <a:defRPr lang="es-ES" sz="800"/>
                    </a:pPr>
                    <a:r>
                      <a:rPr lang="en-US" sz="800" b="1"/>
                      <a:t>11.4%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s-ES" sz="700"/>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'PAGOS ADICIONES 2000-2012'!$A$36:$A$43</c:f>
              <c:numCache>
                <c:formatCode>General</c:formatCode>
                <c:ptCount val="8"/>
                <c:pt idx="0">
                  <c:v>2006</c:v>
                </c:pt>
                <c:pt idx="1">
                  <c:v>2007</c:v>
                </c:pt>
                <c:pt idx="2">
                  <c:v>2008</c:v>
                </c:pt>
                <c:pt idx="3">
                  <c:v>2009</c:v>
                </c:pt>
                <c:pt idx="4">
                  <c:v>2010</c:v>
                </c:pt>
                <c:pt idx="5">
                  <c:v>2011</c:v>
                </c:pt>
                <c:pt idx="6">
                  <c:v>2012</c:v>
                </c:pt>
                <c:pt idx="7">
                  <c:v>2013</c:v>
                </c:pt>
              </c:numCache>
            </c:numRef>
          </c:cat>
          <c:val>
            <c:numRef>
              <c:f>'PAGOS ADICIONES 2000-2012'!$C$36:$C$43</c:f>
              <c:numCache>
                <c:formatCode>_("$"\ * #,##0_);_("$"\ * \(#,##0\);_("$"\ * "-"??_);_(@_)</c:formatCode>
                <c:ptCount val="8"/>
                <c:pt idx="0">
                  <c:v>80369102861.800003</c:v>
                </c:pt>
                <c:pt idx="1">
                  <c:v>142840536615.53</c:v>
                </c:pt>
                <c:pt idx="2">
                  <c:v>66884796029.420006</c:v>
                </c:pt>
                <c:pt idx="3">
                  <c:v>38379283928.480003</c:v>
                </c:pt>
                <c:pt idx="4">
                  <c:v>69712461600.98999</c:v>
                </c:pt>
                <c:pt idx="5">
                  <c:v>55750249020.629997</c:v>
                </c:pt>
                <c:pt idx="6">
                  <c:v>398731639179.66895</c:v>
                </c:pt>
                <c:pt idx="7">
                  <c:v>125129270096</c:v>
                </c:pt>
              </c:numCache>
            </c:numRef>
          </c:val>
        </c:ser>
        <c:dLbls>
          <c:showLegendKey val="0"/>
          <c:showVal val="0"/>
          <c:showCatName val="0"/>
          <c:showSerName val="0"/>
          <c:showPercent val="0"/>
          <c:showBubbleSize val="0"/>
        </c:dLbls>
        <c:gapWidth val="75"/>
        <c:shape val="cylinder"/>
        <c:axId val="266543968"/>
        <c:axId val="355382528"/>
        <c:axId val="0"/>
      </c:bar3DChart>
      <c:catAx>
        <c:axId val="266543968"/>
        <c:scaling>
          <c:orientation val="minMax"/>
        </c:scaling>
        <c:delete val="0"/>
        <c:axPos val="b"/>
        <c:numFmt formatCode="General" sourceLinked="1"/>
        <c:majorTickMark val="none"/>
        <c:minorTickMark val="none"/>
        <c:tickLblPos val="nextTo"/>
        <c:txPr>
          <a:bodyPr/>
          <a:lstStyle/>
          <a:p>
            <a:pPr>
              <a:defRPr lang="es-ES" sz="800"/>
            </a:pPr>
            <a:endParaRPr lang="es-CO"/>
          </a:p>
        </c:txPr>
        <c:crossAx val="355382528"/>
        <c:crosses val="autoZero"/>
        <c:auto val="1"/>
        <c:lblAlgn val="ctr"/>
        <c:lblOffset val="100"/>
        <c:noMultiLvlLbl val="0"/>
      </c:catAx>
      <c:valAx>
        <c:axId val="355382528"/>
        <c:scaling>
          <c:orientation val="minMax"/>
        </c:scaling>
        <c:delete val="0"/>
        <c:axPos val="l"/>
        <c:majorGridlines>
          <c:spPr>
            <a:ln>
              <a:solidFill>
                <a:schemeClr val="bg1">
                  <a:lumMod val="75000"/>
                </a:schemeClr>
              </a:solidFill>
            </a:ln>
          </c:spPr>
        </c:majorGridlines>
        <c:numFmt formatCode="_ &quot;$&quot;\ * #,##0_ ;_ &quot;$&quot;\ * \-#,##0_ ;_ &quot;$&quot;\ * &quot;-&quot;??_ ;_ @_ " sourceLinked="1"/>
        <c:majorTickMark val="none"/>
        <c:minorTickMark val="none"/>
        <c:tickLblPos val="nextTo"/>
        <c:spPr>
          <a:ln w="9525">
            <a:noFill/>
          </a:ln>
        </c:spPr>
        <c:txPr>
          <a:bodyPr/>
          <a:lstStyle/>
          <a:p>
            <a:pPr>
              <a:defRPr lang="es-ES" sz="700"/>
            </a:pPr>
            <a:endParaRPr lang="es-CO"/>
          </a:p>
        </c:txPr>
        <c:crossAx val="266543968"/>
        <c:crosses val="autoZero"/>
        <c:crossBetween val="between"/>
        <c:dispUnits>
          <c:builtInUnit val="millions"/>
          <c:dispUnitsLbl>
            <c:layout>
              <c:manualLayout>
                <c:xMode val="edge"/>
                <c:yMode val="edge"/>
                <c:x val="1.6675146375933808E-3"/>
                <c:y val="0.48100916900805923"/>
              </c:manualLayout>
            </c:layout>
            <c:tx>
              <c:rich>
                <a:bodyPr/>
                <a:lstStyle/>
                <a:p>
                  <a:pPr>
                    <a:defRPr lang="es-ES" sz="800"/>
                  </a:pPr>
                  <a:r>
                    <a:rPr lang="en-US" sz="800"/>
                    <a:t>Milliones</a:t>
                  </a:r>
                </a:p>
              </c:rich>
            </c:tx>
          </c:dispUnitsLbl>
        </c:dispUnits>
      </c:valAx>
    </c:plotArea>
    <c:legend>
      <c:legendPos val="tr"/>
      <c:layout>
        <c:manualLayout>
          <c:xMode val="edge"/>
          <c:yMode val="edge"/>
          <c:x val="0.2688891580860085"/>
          <c:y val="9.6581459926204871E-2"/>
          <c:w val="0.173162123965274"/>
          <c:h val="0.15488093574102119"/>
        </c:manualLayout>
      </c:layout>
      <c:overlay val="0"/>
      <c:txPr>
        <a:bodyPr/>
        <a:lstStyle/>
        <a:p>
          <a:pPr>
            <a:defRPr sz="700"/>
          </a:pPr>
          <a:endParaRPr lang="es-CO"/>
        </a:p>
      </c:txPr>
    </c:legend>
    <c:plotVisOnly val="1"/>
    <c:dispBlanksAs val="gap"/>
    <c:showDLblsOverMax val="0"/>
  </c:chart>
  <c:spPr>
    <a:ln>
      <a:noFill/>
    </a:ln>
  </c:spPr>
  <c:txPr>
    <a:bodyPr/>
    <a:lstStyle/>
    <a:p>
      <a:pPr>
        <a:defRPr>
          <a:latin typeface="Arial" pitchFamily="34" charset="0"/>
          <a:cs typeface="Arial" pitchFamily="34" charset="0"/>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5213848268966418"/>
          <c:y val="5.7742782152231074E-2"/>
          <c:w val="0.810917697787777"/>
          <c:h val="0.61326006589601756"/>
        </c:manualLayout>
      </c:layout>
      <c:lineChart>
        <c:grouping val="standard"/>
        <c:varyColors val="0"/>
        <c:ser>
          <c:idx val="0"/>
          <c:order val="0"/>
          <c:tx>
            <c:strRef>
              <c:f>'pasivo contingente'!$B$23</c:f>
              <c:strCache>
                <c:ptCount val="1"/>
                <c:pt idx="0">
                  <c:v>Total contingente</c:v>
                </c:pt>
              </c:strCache>
            </c:strRef>
          </c:tx>
          <c:cat>
            <c:strRef>
              <c:f>'pasivo contingente'!$A$24:$A$33</c:f>
              <c:strCache>
                <c:ptCount val="10"/>
                <c:pt idx="0">
                  <c:v>MFMP 2004-2014</c:v>
                </c:pt>
                <c:pt idx="1">
                  <c:v>MFMP 2005-2015</c:v>
                </c:pt>
                <c:pt idx="2">
                  <c:v>MFMP 2006-2016</c:v>
                </c:pt>
                <c:pt idx="3">
                  <c:v>MFMP 2007-2017</c:v>
                </c:pt>
                <c:pt idx="4">
                  <c:v>MFMP 2008-2018</c:v>
                </c:pt>
                <c:pt idx="5">
                  <c:v>MFMP 2009-2019</c:v>
                </c:pt>
                <c:pt idx="6">
                  <c:v>MFMP 2010-2020</c:v>
                </c:pt>
                <c:pt idx="7">
                  <c:v>MFMP 2011-2021</c:v>
                </c:pt>
                <c:pt idx="8">
                  <c:v>MFMP 2012-2022</c:v>
                </c:pt>
                <c:pt idx="9">
                  <c:v>MFMP 2013-2023</c:v>
                </c:pt>
              </c:strCache>
            </c:strRef>
          </c:cat>
          <c:val>
            <c:numRef>
              <c:f>'pasivo contingente'!$B$24:$B$33</c:f>
              <c:numCache>
                <c:formatCode>_("$"\ * #,##0_);_("$"\ * \(#,##0\);_("$"\ * "-"??_);_(@_)</c:formatCode>
                <c:ptCount val="10"/>
                <c:pt idx="0">
                  <c:v>5940000000000</c:v>
                </c:pt>
                <c:pt idx="1">
                  <c:v>6490000000000</c:v>
                </c:pt>
                <c:pt idx="2">
                  <c:v>3900000000000</c:v>
                </c:pt>
                <c:pt idx="3">
                  <c:v>4100000000000</c:v>
                </c:pt>
                <c:pt idx="4">
                  <c:v>0</c:v>
                </c:pt>
                <c:pt idx="5">
                  <c:v>71400000000000</c:v>
                </c:pt>
                <c:pt idx="6">
                  <c:v>431000000000000</c:v>
                </c:pt>
                <c:pt idx="7">
                  <c:v>408000000000000</c:v>
                </c:pt>
                <c:pt idx="8">
                  <c:v>452000000000000</c:v>
                </c:pt>
                <c:pt idx="9">
                  <c:v>102000000000000</c:v>
                </c:pt>
              </c:numCache>
            </c:numRef>
          </c:val>
          <c:smooth val="0"/>
        </c:ser>
        <c:ser>
          <c:idx val="1"/>
          <c:order val="1"/>
          <c:tx>
            <c:strRef>
              <c:f>'pasivo contingente'!$C$23</c:f>
              <c:strCache>
                <c:ptCount val="1"/>
                <c:pt idx="0">
                  <c:v>Contingente sin INCORA</c:v>
                </c:pt>
              </c:strCache>
            </c:strRef>
          </c:tx>
          <c:spPr>
            <a:ln>
              <a:solidFill>
                <a:schemeClr val="accent1"/>
              </a:solidFill>
            </a:ln>
          </c:spPr>
          <c:dPt>
            <c:idx val="0"/>
            <c:marker>
              <c:spPr>
                <a:solidFill>
                  <a:schemeClr val="accent1"/>
                </a:solidFill>
                <a:ln>
                  <a:solidFill>
                    <a:schemeClr val="accent1"/>
                  </a:solidFill>
                </a:ln>
              </c:spPr>
            </c:marker>
            <c:bubble3D val="0"/>
          </c:dPt>
          <c:dPt>
            <c:idx val="1"/>
            <c:marker>
              <c:spPr>
                <a:solidFill>
                  <a:schemeClr val="accent1"/>
                </a:solidFill>
                <a:ln>
                  <a:solidFill>
                    <a:schemeClr val="accent1"/>
                  </a:solidFill>
                </a:ln>
              </c:spPr>
            </c:marker>
            <c:bubble3D val="0"/>
          </c:dPt>
          <c:dPt>
            <c:idx val="2"/>
            <c:marker>
              <c:spPr>
                <a:solidFill>
                  <a:schemeClr val="accent1"/>
                </a:solidFill>
                <a:ln>
                  <a:solidFill>
                    <a:schemeClr val="accent1"/>
                  </a:solidFill>
                </a:ln>
              </c:spPr>
            </c:marker>
            <c:bubble3D val="0"/>
          </c:dPt>
          <c:dPt>
            <c:idx val="3"/>
            <c:marker>
              <c:spPr>
                <a:solidFill>
                  <a:schemeClr val="accent1"/>
                </a:solidFill>
                <a:ln>
                  <a:solidFill>
                    <a:schemeClr val="accent1"/>
                  </a:solidFill>
                </a:ln>
              </c:spPr>
            </c:marker>
            <c:bubble3D val="0"/>
          </c:dPt>
          <c:dPt>
            <c:idx val="4"/>
            <c:marker>
              <c:spPr>
                <a:solidFill>
                  <a:schemeClr val="accent1"/>
                </a:solidFill>
                <a:ln>
                  <a:solidFill>
                    <a:schemeClr val="accent1"/>
                  </a:solidFill>
                </a:ln>
              </c:spPr>
            </c:marker>
            <c:bubble3D val="0"/>
          </c:dPt>
          <c:dPt>
            <c:idx val="5"/>
            <c:marker>
              <c:spPr>
                <a:solidFill>
                  <a:schemeClr val="accent1"/>
                </a:solidFill>
                <a:ln>
                  <a:solidFill>
                    <a:schemeClr val="accent1"/>
                  </a:solidFill>
                </a:ln>
              </c:spPr>
            </c:marker>
            <c:bubble3D val="0"/>
          </c:dPt>
          <c:dPt>
            <c:idx val="6"/>
            <c:marker>
              <c:spPr>
                <a:solidFill>
                  <a:schemeClr val="accent1"/>
                </a:solidFill>
                <a:ln>
                  <a:solidFill>
                    <a:schemeClr val="accent1"/>
                  </a:solidFill>
                </a:ln>
              </c:spPr>
            </c:marker>
            <c:bubble3D val="0"/>
          </c:dPt>
          <c:dPt>
            <c:idx val="7"/>
            <c:marker>
              <c:spPr>
                <a:solidFill>
                  <a:schemeClr val="accent1"/>
                </a:solidFill>
                <a:ln>
                  <a:solidFill>
                    <a:schemeClr val="accent1"/>
                  </a:solidFill>
                </a:ln>
              </c:spPr>
            </c:marker>
            <c:bubble3D val="0"/>
          </c:dPt>
          <c:dPt>
            <c:idx val="8"/>
            <c:marker>
              <c:spPr>
                <a:solidFill>
                  <a:schemeClr val="accent1"/>
                </a:solidFill>
                <a:ln>
                  <a:solidFill>
                    <a:schemeClr val="accent1"/>
                  </a:solidFill>
                </a:ln>
              </c:spPr>
            </c:marker>
            <c:bubble3D val="0"/>
          </c:dPt>
          <c:dPt>
            <c:idx val="9"/>
            <c:marker>
              <c:spPr>
                <a:solidFill>
                  <a:schemeClr val="accent1"/>
                </a:solidFill>
                <a:ln>
                  <a:solidFill>
                    <a:schemeClr val="accent1"/>
                  </a:solidFill>
                </a:ln>
              </c:spPr>
            </c:marker>
            <c:bubble3D val="0"/>
          </c:dPt>
          <c:cat>
            <c:strRef>
              <c:f>'pasivo contingente'!$A$24:$A$33</c:f>
              <c:strCache>
                <c:ptCount val="10"/>
                <c:pt idx="0">
                  <c:v>MFMP 2004-2014</c:v>
                </c:pt>
                <c:pt idx="1">
                  <c:v>MFMP 2005-2015</c:v>
                </c:pt>
                <c:pt idx="2">
                  <c:v>MFMP 2006-2016</c:v>
                </c:pt>
                <c:pt idx="3">
                  <c:v>MFMP 2007-2017</c:v>
                </c:pt>
                <c:pt idx="4">
                  <c:v>MFMP 2008-2018</c:v>
                </c:pt>
                <c:pt idx="5">
                  <c:v>MFMP 2009-2019</c:v>
                </c:pt>
                <c:pt idx="6">
                  <c:v>MFMP 2010-2020</c:v>
                </c:pt>
                <c:pt idx="7">
                  <c:v>MFMP 2011-2021</c:v>
                </c:pt>
                <c:pt idx="8">
                  <c:v>MFMP 2012-2022</c:v>
                </c:pt>
                <c:pt idx="9">
                  <c:v>MFMP 2013-2023</c:v>
                </c:pt>
              </c:strCache>
            </c:strRef>
          </c:cat>
          <c:val>
            <c:numRef>
              <c:f>'pasivo contingente'!$C$24:$C$33</c:f>
              <c:numCache>
                <c:formatCode>_("$"\ * #,##0_);_("$"\ * \(#,##0\);_("$"\ * "-"??_);_(@_)</c:formatCode>
                <c:ptCount val="10"/>
                <c:pt idx="0">
                  <c:v>5940000000000</c:v>
                </c:pt>
                <c:pt idx="1">
                  <c:v>6490000000000</c:v>
                </c:pt>
                <c:pt idx="2">
                  <c:v>3900000000000</c:v>
                </c:pt>
                <c:pt idx="3">
                  <c:v>4100000000000</c:v>
                </c:pt>
                <c:pt idx="4">
                  <c:v>0</c:v>
                </c:pt>
                <c:pt idx="5">
                  <c:v>3600000000000</c:v>
                </c:pt>
                <c:pt idx="6">
                  <c:v>97400000000000</c:v>
                </c:pt>
                <c:pt idx="7">
                  <c:v>70000000000000</c:v>
                </c:pt>
                <c:pt idx="8">
                  <c:v>94000000000000</c:v>
                </c:pt>
                <c:pt idx="9">
                  <c:v>102000000000000</c:v>
                </c:pt>
              </c:numCache>
            </c:numRef>
          </c:val>
          <c:smooth val="0"/>
        </c:ser>
        <c:dLbls>
          <c:showLegendKey val="0"/>
          <c:showVal val="0"/>
          <c:showCatName val="0"/>
          <c:showSerName val="0"/>
          <c:showPercent val="0"/>
          <c:showBubbleSize val="0"/>
        </c:dLbls>
        <c:marker val="1"/>
        <c:smooth val="0"/>
        <c:axId val="452493232"/>
        <c:axId val="452493792"/>
      </c:lineChart>
      <c:catAx>
        <c:axId val="452493232"/>
        <c:scaling>
          <c:orientation val="minMax"/>
        </c:scaling>
        <c:delete val="0"/>
        <c:axPos val="b"/>
        <c:numFmt formatCode="General" sourceLinked="0"/>
        <c:majorTickMark val="none"/>
        <c:minorTickMark val="none"/>
        <c:tickLblPos val="nextTo"/>
        <c:txPr>
          <a:bodyPr/>
          <a:lstStyle/>
          <a:p>
            <a:pPr>
              <a:defRPr lang="es-ES" sz="700"/>
            </a:pPr>
            <a:endParaRPr lang="es-CO"/>
          </a:p>
        </c:txPr>
        <c:crossAx val="452493792"/>
        <c:crosses val="autoZero"/>
        <c:auto val="1"/>
        <c:lblAlgn val="ctr"/>
        <c:lblOffset val="100"/>
        <c:noMultiLvlLbl val="0"/>
      </c:catAx>
      <c:valAx>
        <c:axId val="452493792"/>
        <c:scaling>
          <c:orientation val="minMax"/>
        </c:scaling>
        <c:delete val="0"/>
        <c:axPos val="l"/>
        <c:majorGridlines>
          <c:spPr>
            <a:ln>
              <a:prstDash val="dashDot"/>
            </a:ln>
          </c:spPr>
        </c:majorGridlines>
        <c:numFmt formatCode="_(&quot;$&quot;\ * #,##0_);_(&quot;$&quot;\ * \(#,##0\);_(&quot;$&quot;\ * &quot;-&quot;??_);_(@_)" sourceLinked="1"/>
        <c:majorTickMark val="none"/>
        <c:minorTickMark val="none"/>
        <c:tickLblPos val="nextTo"/>
        <c:txPr>
          <a:bodyPr/>
          <a:lstStyle/>
          <a:p>
            <a:pPr>
              <a:defRPr lang="es-ES" sz="800"/>
            </a:pPr>
            <a:endParaRPr lang="es-CO"/>
          </a:p>
        </c:txPr>
        <c:crossAx val="452493232"/>
        <c:crosses val="autoZero"/>
        <c:crossBetween val="between"/>
        <c:dispUnits>
          <c:builtInUnit val="trillions"/>
          <c:dispUnitsLbl>
            <c:layout>
              <c:manualLayout>
                <c:xMode val="edge"/>
                <c:yMode val="edge"/>
                <c:x val="1.7076302962129686E-2"/>
                <c:y val="0.62232910075429804"/>
              </c:manualLayout>
            </c:layout>
            <c:tx>
              <c:rich>
                <a:bodyPr/>
                <a:lstStyle/>
                <a:p>
                  <a:pPr>
                    <a:defRPr lang="es-ES" sz="800"/>
                  </a:pPr>
                  <a:r>
                    <a:rPr lang="es-CO"/>
                    <a:t>Trilliones</a:t>
                  </a:r>
                </a:p>
              </c:rich>
            </c:tx>
          </c:dispUnitsLbl>
        </c:dispUnits>
      </c:valAx>
    </c:plotArea>
    <c:legend>
      <c:legendPos val="b"/>
      <c:layout>
        <c:manualLayout>
          <c:xMode val="edge"/>
          <c:yMode val="edge"/>
          <c:x val="0.16720534933133419"/>
          <c:y val="6.5458647456302033E-2"/>
          <c:w val="0.31834109343927036"/>
          <c:h val="0.22249772699981088"/>
        </c:manualLayout>
      </c:layout>
      <c:overlay val="0"/>
      <c:txPr>
        <a:bodyPr/>
        <a:lstStyle/>
        <a:p>
          <a:pPr>
            <a:defRPr lang="es-ES" sz="700"/>
          </a:pPr>
          <a:endParaRPr lang="es-CO"/>
        </a:p>
      </c:txPr>
    </c:legend>
    <c:plotVisOnly val="1"/>
    <c:dispBlanksAs val="gap"/>
    <c:showDLblsOverMax val="0"/>
  </c:chart>
  <c:spPr>
    <a:ln>
      <a:noFill/>
    </a:ln>
  </c:spPr>
  <c:txPr>
    <a:bodyPr/>
    <a:lstStyle/>
    <a:p>
      <a:pPr>
        <a:defRPr>
          <a:latin typeface="Arial" pitchFamily="34" charset="0"/>
          <a:cs typeface="Arial" pitchFamily="34" charset="0"/>
        </a:defRPr>
      </a:pPr>
      <a:endParaRPr lang="es-C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219090073137632E-2"/>
          <c:y val="7.2795630275945364E-2"/>
          <c:w val="0.82977258835796197"/>
          <c:h val="0.78587760240377214"/>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25"/>
                  <c:y val="-0.10185185185185186"/>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bg1"/>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23611111111111122"/>
                  <c:y val="6.944444444444450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bg1"/>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Hoja1!$E$13:$E$14</c:f>
              <c:strCache>
                <c:ptCount val="2"/>
                <c:pt idx="0">
                  <c:v>Entidades que remitieron información</c:v>
                </c:pt>
                <c:pt idx="1">
                  <c:v>Entidades que NO remitieron información</c:v>
                </c:pt>
              </c:strCache>
            </c:strRef>
          </c:cat>
          <c:val>
            <c:numRef>
              <c:f>Hoja1!$F$13:$F$14</c:f>
              <c:numCache>
                <c:formatCode>General</c:formatCode>
                <c:ptCount val="2"/>
                <c:pt idx="0">
                  <c:v>180</c:v>
                </c:pt>
                <c:pt idx="1">
                  <c:v>167</c:v>
                </c:pt>
              </c:numCache>
            </c:numRef>
          </c:val>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565863219062698"/>
          <c:y val="0.17644880342805888"/>
          <c:w val="0.81095347797682493"/>
          <c:h val="0.78855622418513949"/>
        </c:manualLayout>
      </c:layout>
      <c:pie3DChart>
        <c:varyColors val="1"/>
        <c:ser>
          <c:idx val="0"/>
          <c:order val="0"/>
          <c:spPr>
            <a:ln>
              <a:solidFill>
                <a:schemeClr val="tx1"/>
              </a:solidFill>
            </a:ln>
          </c:spPr>
          <c:dPt>
            <c:idx val="0"/>
            <c:bubble3D val="0"/>
            <c:spPr>
              <a:solidFill>
                <a:schemeClr val="accent1"/>
              </a:solidFill>
              <a:ln>
                <a:solidFill>
                  <a:schemeClr val="tx1"/>
                </a:solidFill>
              </a:ln>
              <a:effectLst>
                <a:outerShdw blurRad="88900" sx="102000" sy="102000" algn="ctr" rotWithShape="0">
                  <a:prstClr val="black">
                    <a:alpha val="10000"/>
                  </a:prstClr>
                </a:outerShdw>
              </a:effectLst>
              <a:scene3d>
                <a:camera prst="orthographicFront"/>
                <a:lightRig rig="threePt" dir="t"/>
              </a:scene3d>
              <a:sp3d>
                <a:bevelT w="127000" h="127000"/>
                <a:bevelB w="127000" h="127000"/>
                <a:contourClr>
                  <a:schemeClr val="tx1"/>
                </a:contourClr>
              </a:sp3d>
            </c:spPr>
          </c:dPt>
          <c:dPt>
            <c:idx val="1"/>
            <c:bubble3D val="0"/>
            <c:spPr>
              <a:solidFill>
                <a:schemeClr val="accent2"/>
              </a:solidFill>
              <a:ln>
                <a:solidFill>
                  <a:schemeClr val="tx1"/>
                </a:solidFill>
              </a:ln>
              <a:effectLst>
                <a:outerShdw blurRad="88900" sx="102000" sy="102000" algn="ctr" rotWithShape="0">
                  <a:prstClr val="black">
                    <a:alpha val="10000"/>
                  </a:prstClr>
                </a:outerShdw>
              </a:effectLst>
              <a:scene3d>
                <a:camera prst="orthographicFront"/>
                <a:lightRig rig="threePt" dir="t"/>
              </a:scene3d>
              <a:sp3d>
                <a:bevelT w="127000" h="127000"/>
                <a:bevelB w="127000" h="127000"/>
                <a:contourClr>
                  <a:schemeClr val="tx1"/>
                </a:contourClr>
              </a:sp3d>
            </c:spPr>
          </c:dPt>
          <c:dLbls>
            <c:dLbl>
              <c:idx val="0"/>
              <c:layout>
                <c:manualLayout>
                  <c:x val="-0.154273288041161"/>
                  <c:y val="-0.28700242315525537"/>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bg1"/>
                        </a:solidFill>
                        <a:latin typeface="+mn-lt"/>
                        <a:ea typeface="+mn-ea"/>
                        <a:cs typeface="+mn-cs"/>
                      </a:defRPr>
                    </a:pPr>
                    <a:fld id="{0852E28C-B919-4B1F-8137-CC43FBE0A69D}" type="CATEGORYNAME">
                      <a:rPr lang="en-US"/>
                      <a:pPr>
                        <a:defRPr sz="900" b="1" i="0" u="none" strike="noStrike" kern="1200" spc="0" baseline="0">
                          <a:solidFill>
                            <a:schemeClr val="bg1"/>
                          </a:solidFill>
                          <a:latin typeface="+mn-lt"/>
                          <a:ea typeface="+mn-ea"/>
                          <a:cs typeface="+mn-cs"/>
                        </a:defRPr>
                      </a:pPr>
                      <a:t>[NOMBRE DE CATEGORÍA]</a:t>
                    </a:fld>
                    <a:fld id="{F54BB8AA-1297-45D4-9E7B-072958654991}" type="PERCENTAGE">
                      <a:rPr lang="en-US" baseline="0"/>
                      <a:pPr>
                        <a:defRPr sz="900" b="1" i="0" u="none" strike="noStrike" kern="1200" spc="0" baseline="0">
                          <a:solidFill>
                            <a:schemeClr val="bg1"/>
                          </a:solidFill>
                          <a:latin typeface="+mn-lt"/>
                          <a:ea typeface="+mn-ea"/>
                          <a:cs typeface="+mn-cs"/>
                        </a:defRPr>
                      </a:pPr>
                      <a:t>[PORCENTAJE]</a:t>
                    </a:fld>
                    <a:endParaRPr lang="es-CO"/>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22605285350161555"/>
                      <c:h val="0.48363750786658272"/>
                    </c:manualLayout>
                  </c15:layout>
                  <c15:dlblFieldTable/>
                  <c15:showDataLabelsRange val="0"/>
                </c:ext>
              </c:extLst>
            </c:dLbl>
            <c:dLbl>
              <c:idx val="1"/>
              <c:layout>
                <c:manualLayout>
                  <c:x val="-0.10698689956331878"/>
                  <c:y val="-1.334313073341276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Hoja7!$K$42:$K$43</c:f>
              <c:strCache>
                <c:ptCount val="2"/>
                <c:pt idx="0">
                  <c:v>Entidades que reportan no contar con Políticas de Prevención y de Defensa </c:v>
                </c:pt>
                <c:pt idx="1">
                  <c:v>Entidades que reportan contar con Políticas de Prevención y de Defensa </c:v>
                </c:pt>
              </c:strCache>
            </c:strRef>
          </c:cat>
          <c:val>
            <c:numRef>
              <c:f>Hoja7!$L$42:$L$43</c:f>
              <c:numCache>
                <c:formatCode>General</c:formatCode>
                <c:ptCount val="2"/>
                <c:pt idx="0">
                  <c:v>149</c:v>
                </c:pt>
                <c:pt idx="1">
                  <c:v>31</c:v>
                </c:pt>
              </c:numCache>
            </c:numRef>
          </c:val>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rden xmlns="40839eeb-5a66-4e6e-aa47-122bf840a467" xsi:nil="true"/>
    <_dlc_DocId xmlns="40839eeb-5a66-4e6e-aa47-122bf840a467">6VQC4QCV76MK-19-1</_dlc_DocId>
    <_dlc_DocIdUrl xmlns="40839eeb-5a66-4e6e-aa47-122bf840a467">
      <Url>http://192.168.10.35:8080/agencia/dependencias/_layouts/15/DocIdRedir.aspx?ID=6VQC4QCV76MK-19-1</Url>
      <Description>6VQC4QCV76MK-19-1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A5F903BF86AD14E871B364FFDCC5B2B" ma:contentTypeVersion="4" ma:contentTypeDescription="Crear nuevo documento." ma:contentTypeScope="" ma:versionID="4694005bd263f3d12177b80a27d0843b">
  <xsd:schema xmlns:xsd="http://www.w3.org/2001/XMLSchema" xmlns:xs="http://www.w3.org/2001/XMLSchema" xmlns:p="http://schemas.microsoft.com/office/2006/metadata/properties" xmlns:ns1="http://schemas.microsoft.com/sharepoint/v3" xmlns:ns2="40839eeb-5a66-4e6e-aa47-122bf840a467" targetNamespace="http://schemas.microsoft.com/office/2006/metadata/properties" ma:root="true" ma:fieldsID="dc0bc6e1e292696b17086f91d4302f91" ns1:_="" ns2:_="">
    <xsd:import namespace="http://schemas.microsoft.com/sharepoint/v3"/>
    <xsd:import namespace="40839eeb-5a66-4e6e-aa47-122bf840a467"/>
    <xsd:element name="properties">
      <xsd:complexType>
        <xsd:sequence>
          <xsd:element name="documentManagement">
            <xsd:complexType>
              <xsd:all>
                <xsd:element ref="ns1:PublishingStartDate" minOccurs="0"/>
                <xsd:element ref="ns1:PublishingExpirationDate" minOccurs="0"/>
                <xsd:element ref="ns2:Orde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5"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39eeb-5a66-4e6e-aa47-122bf840a467" elementFormDefault="qualified">
    <xsd:import namespace="http://schemas.microsoft.com/office/2006/documentManagement/types"/>
    <xsd:import namespace="http://schemas.microsoft.com/office/infopath/2007/PartnerControls"/>
    <xsd:element name="Orden" ma:index="6" nillable="true" ma:displayName="Orden" ma:decimals="0" ma:internalName="Orden">
      <xsd:simpleType>
        <xsd:restriction base="dms:Number">
          <xsd:minInclusive value="1"/>
        </xsd:restriction>
      </xsd:simpleType>
    </xsd:element>
    <xsd:element name="_dlc_DocId" ma:index="7" nillable="true" ma:displayName="Valor de Id. de documento" ma:description="El valor del identificador de documento asignado a este elemento." ma:internalName="_dlc_DocId" ma:readOnly="true">
      <xsd:simpleType>
        <xsd:restriction base="dms:Text"/>
      </xsd:simpleType>
    </xsd:element>
    <xsd:element name="_dlc_DocIdUrl" ma:index="8"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6AE05-4353-4EB5-911C-CB57D1571E11}"/>
</file>

<file path=customXml/itemProps2.xml><?xml version="1.0" encoding="utf-8"?>
<ds:datastoreItem xmlns:ds="http://schemas.openxmlformats.org/officeDocument/2006/customXml" ds:itemID="{DE9A6BA9-700B-4FFA-B466-8F0612818C59}"/>
</file>

<file path=customXml/itemProps3.xml><?xml version="1.0" encoding="utf-8"?>
<ds:datastoreItem xmlns:ds="http://schemas.openxmlformats.org/officeDocument/2006/customXml" ds:itemID="{AA3838B1-449E-477E-81C2-039EC597CE89}"/>
</file>

<file path=customXml/itemProps4.xml><?xml version="1.0" encoding="utf-8"?>
<ds:datastoreItem xmlns:ds="http://schemas.openxmlformats.org/officeDocument/2006/customXml" ds:itemID="{C2446460-9149-4943-AEB2-6023C7538EE4}"/>
</file>

<file path=customXml/itemProps5.xml><?xml version="1.0" encoding="utf-8"?>
<ds:datastoreItem xmlns:ds="http://schemas.openxmlformats.org/officeDocument/2006/customXml" ds:itemID="{EE794250-E190-4806-9A87-85CD19883089}"/>
</file>

<file path=docProps/app.xml><?xml version="1.0" encoding="utf-8"?>
<Properties xmlns="http://schemas.openxmlformats.org/officeDocument/2006/extended-properties" xmlns:vt="http://schemas.openxmlformats.org/officeDocument/2006/docPropsVTypes">
  <Template>Normal</Template>
  <TotalTime>122</TotalTime>
  <Pages>67</Pages>
  <Words>21313</Words>
  <Characters>117222</Characters>
  <Application>Microsoft Office Word</Application>
  <DocSecurity>0</DocSecurity>
  <Lines>976</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McCann Erickson</Company>
  <LinksUpToDate>false</LinksUpToDate>
  <CharactersWithSpaces>138259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 Delgadillo Beltran</dc:creator>
  <cp:lastModifiedBy>Fabiana Maria De La Spriella</cp:lastModifiedBy>
  <cp:revision>7</cp:revision>
  <cp:lastPrinted>2013-11-06T19:55:00Z</cp:lastPrinted>
  <dcterms:created xsi:type="dcterms:W3CDTF">2013-11-14T15:18:00Z</dcterms:created>
  <dcterms:modified xsi:type="dcterms:W3CDTF">2013-12-04T14:57:00Z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0x0101009A5F903BF86AD14E871B364FFDCC5B2B</vt:lpwstr>
  </property>
  <property fmtid="{D5CDD505-2E9C-101B-9397-08002B2CF9AE}" pid="3" name="_dlc_DocIdItemGuid">
    <vt:lpwstr>b60558fc-f58f-43ae-b984-dc9008dbb373</vt:lpwstr>
  </property>
</Properties>
</file>