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B426" w14:textId="77777777" w:rsidR="00A703E0" w:rsidRPr="00681EF8" w:rsidRDefault="00A703E0" w:rsidP="00B64A95">
      <w:pPr>
        <w:spacing w:after="0" w:line="240" w:lineRule="auto"/>
        <w:jc w:val="center"/>
        <w:rPr>
          <w:rFonts w:ascii="Verdana" w:hAnsi="Verdana"/>
          <w:b/>
        </w:rPr>
      </w:pPr>
      <w:r w:rsidRPr="00681EF8">
        <w:rPr>
          <w:rFonts w:ascii="Verdana" w:hAnsi="Verdana"/>
          <w:b/>
        </w:rPr>
        <w:t xml:space="preserve">RESOLUCIÓN No  </w:t>
      </w:r>
    </w:p>
    <w:p w14:paraId="389CE00F" w14:textId="77777777" w:rsidR="00A703E0" w:rsidRPr="00681EF8" w:rsidRDefault="00A703E0" w:rsidP="00B64A95">
      <w:pPr>
        <w:spacing w:after="0" w:line="240" w:lineRule="auto"/>
        <w:jc w:val="center"/>
        <w:rPr>
          <w:rFonts w:ascii="Verdana" w:hAnsi="Verdana"/>
          <w:b/>
        </w:rPr>
      </w:pPr>
      <w:r w:rsidRPr="00681EF8">
        <w:rPr>
          <w:rFonts w:ascii="Verdana" w:hAnsi="Verdana"/>
          <w:b/>
        </w:rPr>
        <w:t xml:space="preserve">(   </w:t>
      </w:r>
      <w:r w:rsidRPr="00681EF8">
        <w:rPr>
          <w:rFonts w:ascii="Verdana" w:hAnsi="Verdana"/>
          <w:b/>
        </w:rPr>
        <w:tab/>
      </w:r>
      <w:r w:rsidRPr="00681EF8">
        <w:rPr>
          <w:rFonts w:ascii="Verdana" w:hAnsi="Verdana"/>
          <w:b/>
        </w:rPr>
        <w:tab/>
      </w:r>
      <w:r w:rsidRPr="00681EF8">
        <w:rPr>
          <w:rFonts w:ascii="Verdana" w:hAnsi="Verdana"/>
          <w:b/>
        </w:rPr>
        <w:tab/>
        <w:t>)</w:t>
      </w:r>
    </w:p>
    <w:p w14:paraId="754C7983" w14:textId="77777777" w:rsidR="00A703E0" w:rsidRPr="00681EF8" w:rsidRDefault="00A703E0" w:rsidP="00B64A95">
      <w:pPr>
        <w:spacing w:after="0" w:line="240" w:lineRule="auto"/>
        <w:rPr>
          <w:rFonts w:ascii="Verdana" w:hAnsi="Verdana"/>
          <w:b/>
        </w:rPr>
      </w:pPr>
    </w:p>
    <w:p w14:paraId="11DE7D2B" w14:textId="77777777" w:rsidR="00A703E0" w:rsidRPr="00681EF8" w:rsidRDefault="00A703E0" w:rsidP="00B64A95">
      <w:pPr>
        <w:spacing w:after="0" w:line="240" w:lineRule="auto"/>
        <w:jc w:val="center"/>
        <w:rPr>
          <w:rFonts w:ascii="Verdana" w:hAnsi="Verdana"/>
        </w:rPr>
      </w:pPr>
    </w:p>
    <w:p w14:paraId="3BA6E084" w14:textId="0646ED4E" w:rsidR="00BD71D5" w:rsidRPr="00681EF8" w:rsidRDefault="00BD71D5" w:rsidP="00B64A95">
      <w:pPr>
        <w:spacing w:after="0" w:line="240" w:lineRule="auto"/>
        <w:jc w:val="center"/>
        <w:rPr>
          <w:rFonts w:ascii="Verdana" w:hAnsi="Verdana"/>
        </w:rPr>
      </w:pPr>
      <w:r w:rsidRPr="00681EF8">
        <w:rPr>
          <w:rFonts w:ascii="Verdana" w:hAnsi="Verdana"/>
        </w:rPr>
        <w:t xml:space="preserve">Por la cual se adopta una metodología para el cálculo </w:t>
      </w:r>
      <w:bookmarkStart w:id="0" w:name="_Hlk164349535"/>
      <w:r w:rsidRPr="00681EF8">
        <w:rPr>
          <w:rFonts w:ascii="Verdana" w:hAnsi="Verdana"/>
        </w:rPr>
        <w:t>de la obligación contingente de los procesos judiciales, conciliaciones extrajudiciales y trámites arbitrales que se adelanten contra la entidad</w:t>
      </w:r>
      <w:bookmarkEnd w:id="0"/>
    </w:p>
    <w:p w14:paraId="59533A86" w14:textId="77777777" w:rsidR="00A703E0" w:rsidRPr="00681EF8" w:rsidRDefault="00A703E0" w:rsidP="00B64A95">
      <w:pPr>
        <w:spacing w:after="0" w:line="240" w:lineRule="auto"/>
        <w:jc w:val="center"/>
        <w:rPr>
          <w:rFonts w:ascii="Verdana" w:hAnsi="Verdana"/>
          <w:b/>
        </w:rPr>
      </w:pPr>
    </w:p>
    <w:p w14:paraId="68F90A1B" w14:textId="77777777" w:rsidR="00A703E0" w:rsidRPr="00681EF8" w:rsidRDefault="00A703E0" w:rsidP="00B64A95">
      <w:pPr>
        <w:spacing w:after="0" w:line="240" w:lineRule="auto"/>
        <w:jc w:val="center"/>
        <w:rPr>
          <w:rFonts w:ascii="Verdana" w:hAnsi="Verdana"/>
          <w:b/>
        </w:rPr>
      </w:pPr>
    </w:p>
    <w:p w14:paraId="3505AF6F" w14:textId="3C4B8502" w:rsidR="00A703E0" w:rsidRPr="00681EF8" w:rsidRDefault="00482C7F" w:rsidP="00B64A95">
      <w:pPr>
        <w:spacing w:after="0" w:line="240" w:lineRule="auto"/>
        <w:jc w:val="center"/>
        <w:rPr>
          <w:rFonts w:ascii="Verdana" w:hAnsi="Verdana" w:cs="Times New Roman"/>
          <w:b/>
        </w:rPr>
      </w:pPr>
      <w:r w:rsidRPr="00681EF8">
        <w:rPr>
          <w:rFonts w:ascii="Verdana" w:hAnsi="Verdana" w:cs="Times New Roman"/>
          <w:b/>
        </w:rPr>
        <w:t>EL</w:t>
      </w:r>
      <w:r w:rsidR="00A703E0" w:rsidRPr="00681EF8">
        <w:rPr>
          <w:rFonts w:ascii="Verdana" w:hAnsi="Verdana" w:cs="Times New Roman"/>
          <w:b/>
        </w:rPr>
        <w:t xml:space="preserve"> </w:t>
      </w:r>
      <w:r w:rsidR="00DA3440" w:rsidRPr="00681EF8">
        <w:rPr>
          <w:rFonts w:ascii="Verdana" w:hAnsi="Verdana" w:cs="Times New Roman"/>
          <w:b/>
        </w:rPr>
        <w:t>XXXXXXXXXX XXXXXXX</w:t>
      </w:r>
    </w:p>
    <w:p w14:paraId="3628184E" w14:textId="77777777" w:rsidR="00A703E0" w:rsidRPr="00681EF8" w:rsidRDefault="00A703E0" w:rsidP="00B64A95">
      <w:pPr>
        <w:spacing w:after="0" w:line="240" w:lineRule="auto"/>
        <w:jc w:val="center"/>
        <w:rPr>
          <w:rFonts w:ascii="Verdana" w:hAnsi="Verdana" w:cs="Times New Roman"/>
          <w:b/>
        </w:rPr>
      </w:pPr>
    </w:p>
    <w:p w14:paraId="3B394027" w14:textId="0897C1F7" w:rsidR="00A703E0" w:rsidRPr="00681EF8" w:rsidRDefault="00A703E0" w:rsidP="00B64A95">
      <w:pPr>
        <w:spacing w:after="0" w:line="240" w:lineRule="auto"/>
        <w:jc w:val="center"/>
        <w:rPr>
          <w:rFonts w:ascii="Verdana" w:hAnsi="Verdana"/>
        </w:rPr>
      </w:pPr>
      <w:r w:rsidRPr="00681EF8">
        <w:rPr>
          <w:rFonts w:ascii="Verdana" w:hAnsi="Verdana"/>
        </w:rPr>
        <w:t>En ejercicio de sus facultades legales y</w:t>
      </w:r>
      <w:r w:rsidR="00A144E1" w:rsidRPr="00681EF8">
        <w:rPr>
          <w:rFonts w:ascii="Verdana" w:hAnsi="Verdana"/>
        </w:rPr>
        <w:t xml:space="preserve"> </w:t>
      </w:r>
      <w:r w:rsidR="00A144E1" w:rsidRPr="00681EF8">
        <w:rPr>
          <w:rFonts w:ascii="Verdana" w:hAnsi="Verdana" w:cs="Times New Roman"/>
        </w:rPr>
        <w:t>constitucionales,</w:t>
      </w:r>
      <w:r w:rsidRPr="00681EF8">
        <w:rPr>
          <w:rFonts w:ascii="Verdana" w:hAnsi="Verdana" w:cs="Times New Roman"/>
        </w:rPr>
        <w:t xml:space="preserve"> </w:t>
      </w:r>
      <w:r w:rsidRPr="00681EF8">
        <w:rPr>
          <w:rFonts w:ascii="Verdana" w:hAnsi="Verdana"/>
        </w:rPr>
        <w:t xml:space="preserve">en especial las conferidas en </w:t>
      </w:r>
      <w:r w:rsidR="00322CE2" w:rsidRPr="00681EF8">
        <w:rPr>
          <w:rFonts w:ascii="Verdana" w:hAnsi="Verdana" w:cs="Times New Roman"/>
        </w:rPr>
        <w:t>XXXXXXXXX XXXXXXXXXXXXXX XXXXXXXXXXXXX</w:t>
      </w:r>
      <w:r w:rsidRPr="00681EF8">
        <w:rPr>
          <w:rFonts w:ascii="Verdana" w:hAnsi="Verdana"/>
        </w:rPr>
        <w:t xml:space="preserve">, </w:t>
      </w:r>
    </w:p>
    <w:p w14:paraId="1E5EED84" w14:textId="77777777" w:rsidR="00A703E0" w:rsidRPr="00681EF8" w:rsidRDefault="00A703E0" w:rsidP="00B64A95">
      <w:pPr>
        <w:spacing w:after="0" w:line="240" w:lineRule="auto"/>
        <w:jc w:val="center"/>
        <w:rPr>
          <w:rFonts w:ascii="Verdana" w:hAnsi="Verdana"/>
          <w:b/>
        </w:rPr>
      </w:pPr>
    </w:p>
    <w:p w14:paraId="3ACA9029" w14:textId="77777777" w:rsidR="00A703E0" w:rsidRPr="00681EF8" w:rsidRDefault="00A703E0" w:rsidP="00B64A95">
      <w:pPr>
        <w:spacing w:after="0" w:line="240" w:lineRule="auto"/>
        <w:jc w:val="center"/>
        <w:rPr>
          <w:rFonts w:ascii="Verdana" w:hAnsi="Verdana"/>
          <w:b/>
        </w:rPr>
      </w:pPr>
    </w:p>
    <w:p w14:paraId="08093902" w14:textId="6B81B132" w:rsidR="00A703E0" w:rsidRPr="00681EF8" w:rsidRDefault="00A703E0" w:rsidP="00B64A95">
      <w:pPr>
        <w:spacing w:after="0" w:line="240" w:lineRule="auto"/>
        <w:jc w:val="center"/>
        <w:rPr>
          <w:rFonts w:ascii="Verdana" w:hAnsi="Verdana"/>
          <w:b/>
        </w:rPr>
      </w:pPr>
      <w:r w:rsidRPr="00681EF8">
        <w:rPr>
          <w:rFonts w:ascii="Verdana" w:hAnsi="Verdana"/>
          <w:b/>
        </w:rPr>
        <w:t>CONSIDERANDO</w:t>
      </w:r>
      <w:r w:rsidR="00B56F51" w:rsidRPr="00681EF8">
        <w:rPr>
          <w:rFonts w:ascii="Verdana" w:hAnsi="Verdana"/>
          <w:b/>
        </w:rPr>
        <w:t xml:space="preserve"> QUE:</w:t>
      </w:r>
    </w:p>
    <w:p w14:paraId="64DCB979" w14:textId="77777777" w:rsidR="00A703E0" w:rsidRPr="00681EF8" w:rsidRDefault="00A703E0" w:rsidP="00B64A95">
      <w:pPr>
        <w:spacing w:after="0" w:line="240" w:lineRule="auto"/>
        <w:jc w:val="both"/>
        <w:rPr>
          <w:rFonts w:ascii="Verdana" w:hAnsi="Verdana"/>
          <w:b/>
        </w:rPr>
      </w:pPr>
    </w:p>
    <w:p w14:paraId="02C43632" w14:textId="06AED402" w:rsidR="00A703E0" w:rsidRPr="00681EF8" w:rsidRDefault="00B56F51" w:rsidP="00B64A95">
      <w:pPr>
        <w:spacing w:after="0" w:line="240" w:lineRule="auto"/>
        <w:jc w:val="both"/>
        <w:rPr>
          <w:rFonts w:ascii="Verdana" w:hAnsi="Verdana"/>
        </w:rPr>
      </w:pPr>
      <w:r w:rsidRPr="00681EF8">
        <w:rPr>
          <w:rFonts w:ascii="Verdana" w:hAnsi="Verdana"/>
        </w:rPr>
        <w:t>D</w:t>
      </w:r>
      <w:r w:rsidR="00A703E0" w:rsidRPr="00681EF8">
        <w:rPr>
          <w:rFonts w:ascii="Verdana" w:hAnsi="Verdana"/>
        </w:rPr>
        <w:t xml:space="preserve">e acuerdo con el artículo 1 de la Ley 448 de 1998, la Nación, las Entidades Territoriales y las Entidades Descentralizadas de cualquier orden deben incluir en sus presupuestos de servicio de deuda, las apropiaciones necesarias para cubrir las posibles pérdidas de las obligaciones contingentes a su cargo, de conformidad con la Ley Orgánica de Presupuesto. </w:t>
      </w:r>
    </w:p>
    <w:p w14:paraId="3C5FCA78" w14:textId="77777777" w:rsidR="00A703E0" w:rsidRPr="00681EF8" w:rsidRDefault="00A703E0" w:rsidP="00B64A95">
      <w:pPr>
        <w:spacing w:after="0" w:line="240" w:lineRule="auto"/>
        <w:jc w:val="both"/>
        <w:rPr>
          <w:rFonts w:ascii="Verdana" w:hAnsi="Verdana"/>
        </w:rPr>
      </w:pPr>
    </w:p>
    <w:p w14:paraId="49EDA667" w14:textId="77777777" w:rsidR="002C49A1" w:rsidRPr="00681EF8" w:rsidRDefault="00B56F51" w:rsidP="00B64A95">
      <w:pPr>
        <w:spacing w:after="0" w:line="240" w:lineRule="auto"/>
        <w:jc w:val="both"/>
        <w:rPr>
          <w:rFonts w:ascii="Verdana" w:hAnsi="Verdana"/>
        </w:rPr>
      </w:pPr>
      <w:r w:rsidRPr="00681EF8">
        <w:rPr>
          <w:rFonts w:ascii="Verdana" w:hAnsi="Verdana"/>
        </w:rPr>
        <w:t>L</w:t>
      </w:r>
      <w:r w:rsidR="00A703E0" w:rsidRPr="00681EF8">
        <w:rPr>
          <w:rFonts w:ascii="Verdana" w:hAnsi="Verdana"/>
        </w:rPr>
        <w:t>as obligaciones contingentes son aquellas obligaciones pecuniarias que están sujetas a una condición, es decir, que su origen está sujeto a la ocurrencia de un hecho futuro e incierto. En tal sentido, las obligaciones que surjan de procesos judiciales, conciliaciones y trámites arbitrales en donde una entidad del Estado sea parte, adquieren esta cualificación por cuanto su nacimiento depende de la expedición de sentencias o laudos condenatorios y suscripción de conciliaciones que impliquen para la entidad, el pago de indemnizaciones a terceros.</w:t>
      </w:r>
    </w:p>
    <w:p w14:paraId="1D83934A" w14:textId="77777777" w:rsidR="006E551E" w:rsidRPr="00681EF8" w:rsidRDefault="006E551E" w:rsidP="00B64A95">
      <w:pPr>
        <w:spacing w:after="0" w:line="240" w:lineRule="auto"/>
        <w:jc w:val="both"/>
        <w:rPr>
          <w:rFonts w:ascii="Verdana" w:hAnsi="Verdana"/>
          <w:lang w:val="es-ES_tradnl"/>
        </w:rPr>
      </w:pPr>
    </w:p>
    <w:p w14:paraId="565E8E25" w14:textId="35B2BBD7" w:rsidR="002C49A1" w:rsidRPr="00681EF8" w:rsidRDefault="004A018D" w:rsidP="00B64A95">
      <w:pPr>
        <w:spacing w:after="0" w:line="240" w:lineRule="auto"/>
        <w:jc w:val="both"/>
        <w:rPr>
          <w:rFonts w:ascii="Verdana" w:eastAsia="Times New Roman" w:hAnsi="Verdana" w:cs="Times New Roman"/>
          <w:lang w:val="es-ES_tradnl" w:eastAsia="es-CO"/>
        </w:rPr>
      </w:pPr>
      <w:r w:rsidRPr="00681EF8">
        <w:rPr>
          <w:rFonts w:ascii="Verdana" w:eastAsia="Times New Roman" w:hAnsi="Verdana" w:cs="Times New Roman"/>
          <w:lang w:val="es-ES_tradnl" w:eastAsia="es-CO"/>
        </w:rPr>
        <w:t>La</w:t>
      </w:r>
      <w:r w:rsidR="006E551E" w:rsidRPr="00681EF8">
        <w:rPr>
          <w:rFonts w:ascii="Verdana" w:eastAsia="Times New Roman" w:hAnsi="Verdana" w:cs="Times New Roman"/>
          <w:lang w:val="es-ES_tradnl" w:eastAsia="es-CO"/>
        </w:rPr>
        <w:t xml:space="preserve"> Ley 2294 de 2023</w:t>
      </w:r>
      <w:r w:rsidR="006E551E" w:rsidRPr="00681EF8">
        <w:rPr>
          <w:rFonts w:ascii="Verdana" w:eastAsia="Times New Roman" w:hAnsi="Verdana" w:cs="Times New Roman"/>
          <w:vertAlign w:val="superscript"/>
          <w:lang w:val="es-ES_tradnl" w:eastAsia="es-CO"/>
        </w:rPr>
        <w:footnoteReference w:id="2"/>
      </w:r>
      <w:r w:rsidR="006E551E" w:rsidRPr="00681EF8">
        <w:rPr>
          <w:rFonts w:ascii="Verdana" w:eastAsia="Times New Roman" w:hAnsi="Verdana" w:cs="Times New Roman"/>
          <w:lang w:val="es-ES_tradnl" w:eastAsia="es-CO"/>
        </w:rPr>
        <w:t xml:space="preserve"> creó mediante su artículo 206 el Sistema de Defensa Jurídica del Estado (SDJE), el cual busca garantizar de manera coordinada la eficacia de la política pública del ciclo de defensa jurídica del Estado en las entidades públicas del orden nacional y territorial, designando como coordinador de este a la Agencia Nacional de Defensa Jurídica del Estado.</w:t>
      </w:r>
    </w:p>
    <w:p w14:paraId="23D28F4D" w14:textId="77777777" w:rsidR="002C49A1" w:rsidRPr="00681EF8" w:rsidRDefault="002C49A1" w:rsidP="00B64A95">
      <w:pPr>
        <w:spacing w:after="0" w:line="240" w:lineRule="auto"/>
        <w:jc w:val="both"/>
        <w:rPr>
          <w:rFonts w:ascii="Verdana" w:hAnsi="Verdana"/>
        </w:rPr>
      </w:pPr>
    </w:p>
    <w:p w14:paraId="40620AE3" w14:textId="591D6586" w:rsidR="00A703E0" w:rsidRPr="00681EF8" w:rsidRDefault="00385E82" w:rsidP="00B64A95">
      <w:pPr>
        <w:spacing w:after="0" w:line="240" w:lineRule="auto"/>
        <w:jc w:val="both"/>
        <w:rPr>
          <w:rFonts w:ascii="Verdana" w:hAnsi="Verdana"/>
        </w:rPr>
      </w:pPr>
      <w:r w:rsidRPr="00681EF8">
        <w:rPr>
          <w:rFonts w:ascii="Verdana" w:hAnsi="Verdana"/>
        </w:rPr>
        <w:t>M</w:t>
      </w:r>
      <w:r w:rsidR="00A703E0" w:rsidRPr="00681EF8">
        <w:rPr>
          <w:rFonts w:ascii="Verdana" w:hAnsi="Verdana"/>
        </w:rPr>
        <w:t>ediante la Circular Externa 0023 del 11 de diciembre de 2015, la Agencia</w:t>
      </w:r>
      <w:r w:rsidR="00D377EF" w:rsidRPr="00681EF8">
        <w:rPr>
          <w:rFonts w:ascii="Verdana" w:hAnsi="Verdana"/>
        </w:rPr>
        <w:t xml:space="preserve"> Nacional de Defensa Jurídica del Estado</w:t>
      </w:r>
      <w:r w:rsidR="00A703E0" w:rsidRPr="00681EF8">
        <w:rPr>
          <w:rFonts w:ascii="Verdana" w:hAnsi="Verdana"/>
        </w:rPr>
        <w:t xml:space="preserve"> estableció de forma referencial una metodología de reconocido valor técnico que puede ser utilizada para calcular la provisión contable o pasivo contingente para las entidades públicas del orden nacional, respecto de los procesos judiciales,</w:t>
      </w:r>
      <w:r w:rsidR="00D941BA" w:rsidRPr="00681EF8">
        <w:rPr>
          <w:rFonts w:ascii="Verdana" w:hAnsi="Verdana"/>
        </w:rPr>
        <w:t xml:space="preserve"> </w:t>
      </w:r>
      <w:r w:rsidR="00A703E0" w:rsidRPr="00681EF8">
        <w:rPr>
          <w:rFonts w:ascii="Verdana" w:hAnsi="Verdana"/>
        </w:rPr>
        <w:t>conciliaciones extrajudiciales y trámites arbitrales a su cargo.</w:t>
      </w:r>
    </w:p>
    <w:p w14:paraId="0C487272" w14:textId="1E737FE5" w:rsidR="00A703E0" w:rsidRPr="00681EF8" w:rsidRDefault="00A703E0" w:rsidP="00B64A95">
      <w:pPr>
        <w:spacing w:after="0" w:line="240" w:lineRule="auto"/>
        <w:jc w:val="both"/>
        <w:rPr>
          <w:rFonts w:ascii="Verdana" w:hAnsi="Verdana"/>
        </w:rPr>
      </w:pPr>
      <w:r w:rsidRPr="00681EF8">
        <w:rPr>
          <w:rFonts w:ascii="Verdana" w:eastAsia="Times New Roman" w:hAnsi="Verdana" w:cs="Times New Roman"/>
          <w:lang w:eastAsia="es-CO"/>
        </w:rPr>
        <w:br/>
      </w:r>
      <w:r w:rsidR="006C3AB7" w:rsidRPr="00681EF8">
        <w:rPr>
          <w:rFonts w:ascii="Verdana" w:eastAsia="Times New Roman" w:hAnsi="Verdana" w:cs="Times New Roman"/>
          <w:lang w:eastAsia="es-CO"/>
        </w:rPr>
        <w:t>Durante el año 2016</w:t>
      </w:r>
      <w:r w:rsidR="00877AF6" w:rsidRPr="00681EF8">
        <w:rPr>
          <w:rFonts w:ascii="Verdana" w:eastAsia="Times New Roman" w:hAnsi="Verdana" w:cs="Times New Roman"/>
          <w:lang w:eastAsia="es-CO"/>
        </w:rPr>
        <w:t>,</w:t>
      </w:r>
      <w:r w:rsidR="006C3AB7" w:rsidRPr="00681EF8">
        <w:rPr>
          <w:rFonts w:ascii="Verdana" w:eastAsia="Times New Roman" w:hAnsi="Verdana" w:cs="Times New Roman"/>
          <w:lang w:eastAsia="es-CO"/>
        </w:rPr>
        <w:t xml:space="preserve"> la</w:t>
      </w:r>
      <w:r w:rsidR="006C3AB7" w:rsidRPr="00681EF8">
        <w:rPr>
          <w:rFonts w:ascii="Verdana" w:hAnsi="Verdana"/>
        </w:rPr>
        <w:t xml:space="preserve"> Agencia Nacional de Defensa Jurídica del Estado </w:t>
      </w:r>
      <w:r w:rsidRPr="00681EF8">
        <w:rPr>
          <w:rFonts w:ascii="Verdana" w:hAnsi="Verdana"/>
        </w:rPr>
        <w:t>realizó un trabajo conjunto con la Contaduría General de la Nación (CGN)</w:t>
      </w:r>
      <w:r w:rsidR="00590A37" w:rsidRPr="00681EF8">
        <w:rPr>
          <w:rFonts w:ascii="Verdana" w:hAnsi="Verdana"/>
        </w:rPr>
        <w:t>,</w:t>
      </w:r>
      <w:r w:rsidRPr="00681EF8">
        <w:rPr>
          <w:rFonts w:ascii="Verdana" w:hAnsi="Verdana"/>
        </w:rPr>
        <w:t xml:space="preserve"> con el objetivo de alinear la Circular Externa 0023 con los marcos normativos de contabilidad emitidos por la CGN, en consonancia con las Normas Internacionales de Información Financiera (NIIF) y las Normas Internacionales de Contabilidad del Sector Público (NICSP). Como resultado de este proceso, se ajustó la metodología, limitando su alcance y verificando su consistencia con los tratamientos contables requeridos en los nuevos marcos normativos.</w:t>
      </w:r>
    </w:p>
    <w:p w14:paraId="525B39EF" w14:textId="77777777" w:rsidR="00A703E0" w:rsidRPr="00681EF8" w:rsidRDefault="00A703E0" w:rsidP="00B64A95">
      <w:pPr>
        <w:spacing w:after="0" w:line="240" w:lineRule="auto"/>
        <w:jc w:val="both"/>
        <w:rPr>
          <w:rFonts w:ascii="Verdana" w:hAnsi="Verdana"/>
        </w:rPr>
      </w:pPr>
    </w:p>
    <w:p w14:paraId="10CA5A59" w14:textId="0C85803B" w:rsidR="00A703E0" w:rsidRPr="00681EF8" w:rsidRDefault="003E284C" w:rsidP="00B64A95">
      <w:pPr>
        <w:spacing w:after="0" w:line="240" w:lineRule="auto"/>
        <w:jc w:val="both"/>
        <w:rPr>
          <w:rFonts w:ascii="Verdana" w:hAnsi="Verdana"/>
        </w:rPr>
      </w:pPr>
      <w:r w:rsidRPr="00681EF8">
        <w:rPr>
          <w:rFonts w:ascii="Verdana" w:hAnsi="Verdana"/>
        </w:rPr>
        <w:t>M</w:t>
      </w:r>
      <w:r w:rsidR="00A703E0" w:rsidRPr="00681EF8">
        <w:rPr>
          <w:rFonts w:ascii="Verdana" w:hAnsi="Verdana"/>
        </w:rPr>
        <w:t>ediante la Resolución 353 de 2016 del 11 de noviembre de 2016, la Agencia adoptó una metodología de reconocido valor técnico para el cálculo de la provisión contable de los procesos judiciales en su contra.</w:t>
      </w:r>
    </w:p>
    <w:p w14:paraId="3DF8B79D" w14:textId="77777777" w:rsidR="00A703E0" w:rsidRPr="00681EF8" w:rsidRDefault="00A703E0" w:rsidP="00B64A95">
      <w:pPr>
        <w:spacing w:after="0" w:line="240" w:lineRule="auto"/>
        <w:jc w:val="both"/>
        <w:rPr>
          <w:rFonts w:ascii="Verdana" w:hAnsi="Verdana"/>
        </w:rPr>
      </w:pPr>
    </w:p>
    <w:p w14:paraId="09A8CD1E" w14:textId="4FFE482F" w:rsidR="00A703E0" w:rsidRPr="00681EF8" w:rsidRDefault="007D0D96" w:rsidP="00B64A95">
      <w:pPr>
        <w:spacing w:after="0" w:line="240" w:lineRule="auto"/>
        <w:jc w:val="both"/>
        <w:rPr>
          <w:rFonts w:ascii="Verdana" w:hAnsi="Verdana"/>
        </w:rPr>
      </w:pPr>
      <w:r w:rsidRPr="00681EF8">
        <w:rPr>
          <w:rFonts w:ascii="Verdana" w:hAnsi="Verdana"/>
        </w:rPr>
        <w:t xml:space="preserve">Por medio de </w:t>
      </w:r>
      <w:r w:rsidR="00A703E0" w:rsidRPr="00681EF8">
        <w:rPr>
          <w:rFonts w:ascii="Verdana" w:hAnsi="Verdana"/>
        </w:rPr>
        <w:t>la Circular Externa 09 del 17 de noviembre de 2016, la Agencia</w:t>
      </w:r>
      <w:r w:rsidR="009B377F" w:rsidRPr="00681EF8">
        <w:rPr>
          <w:rFonts w:ascii="Verdana" w:hAnsi="Verdana"/>
        </w:rPr>
        <w:t xml:space="preserve"> </w:t>
      </w:r>
      <w:r w:rsidR="009B377F" w:rsidRPr="00681EF8">
        <w:rPr>
          <w:rFonts w:ascii="Verdana" w:eastAsia="Times New Roman" w:hAnsi="Verdana" w:cs="Times New Roman"/>
          <w:lang w:eastAsia="es-CO"/>
        </w:rPr>
        <w:t>Nacional de Defensa Jurídica del Estado</w:t>
      </w:r>
      <w:r w:rsidR="00A703E0" w:rsidRPr="00681EF8">
        <w:rPr>
          <w:rFonts w:ascii="Verdana" w:eastAsia="Times New Roman" w:hAnsi="Verdana" w:cs="Times New Roman"/>
          <w:lang w:eastAsia="es-CO"/>
        </w:rPr>
        <w:t xml:space="preserve"> </w:t>
      </w:r>
      <w:r w:rsidR="00A703E0" w:rsidRPr="00681EF8">
        <w:rPr>
          <w:rFonts w:ascii="Verdana" w:hAnsi="Verdana"/>
        </w:rPr>
        <w:t xml:space="preserve">estableció de forma referencial que </w:t>
      </w:r>
      <w:r w:rsidR="00D93D2F" w:rsidRPr="00681EF8">
        <w:rPr>
          <w:rFonts w:ascii="Verdana" w:eastAsia="Times New Roman" w:hAnsi="Verdana" w:cs="Times New Roman"/>
          <w:lang w:eastAsia="es-CO"/>
        </w:rPr>
        <w:t>la</w:t>
      </w:r>
      <w:r w:rsidR="00A703E0" w:rsidRPr="00681EF8">
        <w:rPr>
          <w:rFonts w:ascii="Verdana" w:hAnsi="Verdana"/>
        </w:rPr>
        <w:t xml:space="preserve"> </w:t>
      </w:r>
      <w:r w:rsidR="00A703E0" w:rsidRPr="00681EF8">
        <w:rPr>
          <w:rFonts w:ascii="Verdana" w:hAnsi="Verdana"/>
        </w:rPr>
        <w:lastRenderedPageBreak/>
        <w:t>metodología</w:t>
      </w:r>
      <w:r w:rsidR="00A703E0" w:rsidRPr="00681EF8">
        <w:rPr>
          <w:rFonts w:ascii="Verdana" w:eastAsia="Times New Roman" w:hAnsi="Verdana" w:cs="Times New Roman"/>
          <w:lang w:eastAsia="es-CO"/>
        </w:rPr>
        <w:t xml:space="preserve"> </w:t>
      </w:r>
      <w:r w:rsidR="00D93D2F" w:rsidRPr="00681EF8">
        <w:rPr>
          <w:rFonts w:ascii="Verdana" w:eastAsia="Times New Roman" w:hAnsi="Verdana" w:cs="Times New Roman"/>
          <w:lang w:eastAsia="es-CO"/>
        </w:rPr>
        <w:t>por ella adoptada mediante Resolución 353 de 2016 del 11 de noviembre de 2016</w:t>
      </w:r>
      <w:r w:rsidR="00D93D2F" w:rsidRPr="00681EF8">
        <w:rPr>
          <w:rFonts w:ascii="Verdana" w:hAnsi="Verdana"/>
        </w:rPr>
        <w:t xml:space="preserve"> </w:t>
      </w:r>
      <w:r w:rsidR="00A703E0" w:rsidRPr="00681EF8">
        <w:rPr>
          <w:rFonts w:ascii="Verdana" w:hAnsi="Verdana"/>
        </w:rPr>
        <w:t>puede ser utilizada para calcular la provisión contable o pasivo contingente para las entidades públicas del orden nacional, respecto de los procesos judiciales, conciliaciones extrajudiciales y trámites arbitrales a su cargo.</w:t>
      </w:r>
    </w:p>
    <w:p w14:paraId="2BD1AB87" w14:textId="77777777" w:rsidR="00A703E0" w:rsidRPr="00681EF8" w:rsidRDefault="00A703E0" w:rsidP="00B64A95">
      <w:pPr>
        <w:spacing w:after="0" w:line="240" w:lineRule="auto"/>
        <w:jc w:val="both"/>
        <w:rPr>
          <w:rFonts w:ascii="Verdana" w:hAnsi="Verdana"/>
        </w:rPr>
      </w:pPr>
    </w:p>
    <w:p w14:paraId="25AE134A" w14:textId="09B933D8" w:rsidR="00A703E0" w:rsidRPr="00681EF8" w:rsidRDefault="007D0D96" w:rsidP="00B64A95">
      <w:pPr>
        <w:tabs>
          <w:tab w:val="left" w:pos="0"/>
        </w:tabs>
        <w:spacing w:after="0" w:line="240" w:lineRule="auto"/>
        <w:jc w:val="both"/>
        <w:rPr>
          <w:rFonts w:ascii="Verdana" w:hAnsi="Verdana"/>
        </w:rPr>
      </w:pPr>
      <w:r w:rsidRPr="00681EF8">
        <w:rPr>
          <w:rFonts w:ascii="Verdana" w:hAnsi="Verdana"/>
        </w:rPr>
        <w:t>E</w:t>
      </w:r>
      <w:r w:rsidR="00A703E0" w:rsidRPr="00681EF8">
        <w:rPr>
          <w:rFonts w:ascii="Verdana" w:hAnsi="Verdana"/>
        </w:rPr>
        <w:t>l artículo 1º de la Resolución 354 de 2007, modificado por el artículo 1° de la Resolución 156 de 2018, expedida por la Unidad Administrativa Especial Contaduría General de la Nación (CGN), establece que el Régimen de Contabilidad Pública (RCP) está conformado por: a) el Referente Teórico y Metodológico de la Regulación Contable Pública; b) el Marco Normativo para Empresas que Cotizan en el Mercado de Valores, o que Captan o Administran Ahorro del Público con sus respectivos elementos; c) el Marco Normativo para Empresas que no Cotizan en el Mercado de Valores, y que no Captan ni Administran Ahorro del Público con sus respectivos elementos; d) el Marco Normativo para Entidades de Gobierno con sus respectivos elementos; e) el Marco Normativo para Entidades en Liquidación con sus respectivos elementos; f) la Regulación del Proceso Contable y del Sistema Documental Contable; y g) los Procedimientos Transversales.</w:t>
      </w:r>
    </w:p>
    <w:p w14:paraId="2226CF08" w14:textId="77777777" w:rsidR="00A703E0" w:rsidRPr="00681EF8" w:rsidRDefault="00A703E0" w:rsidP="00B64A95">
      <w:pPr>
        <w:spacing w:after="0" w:line="240" w:lineRule="auto"/>
        <w:jc w:val="both"/>
        <w:rPr>
          <w:rFonts w:ascii="Verdana" w:hAnsi="Verdana"/>
        </w:rPr>
      </w:pPr>
    </w:p>
    <w:p w14:paraId="45E134E1" w14:textId="2106A409" w:rsidR="00A703E0" w:rsidRPr="00681EF8" w:rsidRDefault="007D0D96" w:rsidP="00B64A95">
      <w:pPr>
        <w:spacing w:after="0" w:line="240" w:lineRule="auto"/>
        <w:jc w:val="both"/>
        <w:rPr>
          <w:rFonts w:ascii="Verdana" w:hAnsi="Verdana"/>
        </w:rPr>
      </w:pPr>
      <w:r w:rsidRPr="00681EF8">
        <w:rPr>
          <w:rFonts w:ascii="Verdana" w:hAnsi="Verdana"/>
        </w:rPr>
        <w:t>L</w:t>
      </w:r>
      <w:r w:rsidR="00A703E0" w:rsidRPr="00681EF8">
        <w:rPr>
          <w:rFonts w:ascii="Verdana" w:hAnsi="Verdana"/>
        </w:rPr>
        <w:t>a Resolución 533 de 2015, expedida por la CGN, incorpora, en el RCP, el Marco Normativo para Entidades de Gobierno, el cual está conformado por el Marco Conceptual para la Preparación y Presentación de Información Financiera; las Normas para el Reconocimiento, Medición, Revelación y Presentación de los Hechos Económicos; los Procedimientos Contables; las Guías de Aplicación; el Catálogo General de Cuentas; y la Doctrina Contable Pública.</w:t>
      </w:r>
    </w:p>
    <w:p w14:paraId="6BB686CF" w14:textId="77777777" w:rsidR="00A703E0" w:rsidRPr="00681EF8" w:rsidRDefault="00A703E0" w:rsidP="00B64A95">
      <w:pPr>
        <w:spacing w:after="0" w:line="240" w:lineRule="auto"/>
        <w:jc w:val="both"/>
        <w:rPr>
          <w:rFonts w:ascii="Verdana" w:hAnsi="Verdana"/>
        </w:rPr>
      </w:pPr>
    </w:p>
    <w:p w14:paraId="6F455FF7" w14:textId="2A9F75AF" w:rsidR="0093156B" w:rsidRPr="00681EF8" w:rsidRDefault="007D0D96" w:rsidP="00B64A95">
      <w:pPr>
        <w:spacing w:after="0" w:line="240" w:lineRule="auto"/>
        <w:jc w:val="both"/>
        <w:rPr>
          <w:rFonts w:ascii="Verdana" w:eastAsia="Times New Roman" w:hAnsi="Verdana" w:cs="Times New Roman"/>
          <w:lang w:eastAsia="es-CO"/>
        </w:rPr>
      </w:pPr>
      <w:r w:rsidRPr="00681EF8">
        <w:rPr>
          <w:rFonts w:ascii="Verdana" w:hAnsi="Verdana"/>
        </w:rPr>
        <w:t>L</w:t>
      </w:r>
      <w:r w:rsidR="00A703E0" w:rsidRPr="00681EF8">
        <w:rPr>
          <w:rFonts w:ascii="Verdana" w:hAnsi="Verdana"/>
        </w:rPr>
        <w:t xml:space="preserve">a Resolución 116 de 2017 incorporó en el Marco Normativo para Entidades de Gobierno el procedimiento contable para el registro de los procesos judiciales, arbitrajes, conciliaciones extrajudiciales y embargos sobre cuentas bancarias, actualizado por las </w:t>
      </w:r>
      <w:r w:rsidRPr="00681EF8">
        <w:rPr>
          <w:rFonts w:ascii="Verdana" w:hAnsi="Verdana"/>
        </w:rPr>
        <w:t xml:space="preserve">Resoluciones </w:t>
      </w:r>
      <w:r w:rsidR="00A703E0" w:rsidRPr="00681EF8">
        <w:rPr>
          <w:rFonts w:ascii="Verdana" w:hAnsi="Verdana"/>
        </w:rPr>
        <w:t xml:space="preserve">080 y 231 de 2021, y 064 de 2022. </w:t>
      </w:r>
    </w:p>
    <w:p w14:paraId="5D03E09B" w14:textId="77777777" w:rsidR="0093156B" w:rsidRPr="00681EF8" w:rsidRDefault="0093156B" w:rsidP="00B64A95">
      <w:pPr>
        <w:spacing w:after="0" w:line="240" w:lineRule="auto"/>
        <w:jc w:val="both"/>
        <w:rPr>
          <w:rFonts w:ascii="Verdana" w:eastAsia="Times New Roman" w:hAnsi="Verdana" w:cs="Times New Roman"/>
          <w:lang w:eastAsia="es-CO"/>
        </w:rPr>
      </w:pPr>
    </w:p>
    <w:p w14:paraId="545EA2B1" w14:textId="537F7DA4" w:rsidR="00A703E0" w:rsidRPr="00681EF8" w:rsidRDefault="00A703E0" w:rsidP="00B64A95">
      <w:pPr>
        <w:spacing w:after="0" w:line="240" w:lineRule="auto"/>
        <w:jc w:val="both"/>
        <w:rPr>
          <w:rFonts w:ascii="Verdana" w:hAnsi="Verdana"/>
        </w:rPr>
      </w:pPr>
      <w:r w:rsidRPr="00681EF8">
        <w:rPr>
          <w:rFonts w:ascii="Verdana" w:hAnsi="Verdana"/>
        </w:rPr>
        <w:t>Al respecto, la CGN estableció que se utilizará "una metodología que se ajuste a los criterios de reconocimiento y revelación del Marco Normativo para Entidades de Gobierno. Cuando la entidad considere que la metodología contenida en la Resolución 353 de 2016 de la Agencia Nacional de Defensa Jurídica del Estado se ajusta a las condiciones del litigio o del mecanismo alternativo de solución de conflictos, podrá utilizar dicha metodología”.</w:t>
      </w:r>
    </w:p>
    <w:p w14:paraId="4D9444EE" w14:textId="77777777" w:rsidR="00A703E0" w:rsidRPr="00681EF8" w:rsidRDefault="00A703E0" w:rsidP="00B64A95">
      <w:pPr>
        <w:spacing w:after="0" w:line="240" w:lineRule="auto"/>
        <w:jc w:val="both"/>
        <w:rPr>
          <w:rFonts w:ascii="Verdana" w:hAnsi="Verdana"/>
        </w:rPr>
      </w:pPr>
    </w:p>
    <w:p w14:paraId="45CBF043" w14:textId="2F5FAFB6" w:rsidR="00FD7E53" w:rsidRPr="00681EF8" w:rsidRDefault="00B9269B" w:rsidP="00B64A95">
      <w:pPr>
        <w:spacing w:after="0" w:line="240" w:lineRule="auto"/>
        <w:jc w:val="both"/>
        <w:rPr>
          <w:rFonts w:ascii="Verdana" w:hAnsi="Verdana"/>
        </w:rPr>
      </w:pPr>
      <w:r w:rsidRPr="00681EF8">
        <w:rPr>
          <w:rFonts w:ascii="Verdana" w:eastAsia="Times New Roman" w:hAnsi="Verdana" w:cs="Times New Roman"/>
          <w:lang w:eastAsia="es-CO"/>
        </w:rPr>
        <w:t xml:space="preserve">Mediante Circular Externa 10 de 31 de julio de 2023 la Agencia Nacional de Defensa Jurídica del Estado puso a disposición de todas las entidades </w:t>
      </w:r>
      <w:r w:rsidR="00441B6A" w:rsidRPr="00681EF8">
        <w:rPr>
          <w:rFonts w:ascii="Verdana" w:eastAsia="Times New Roman" w:hAnsi="Verdana" w:cs="Times New Roman"/>
          <w:lang w:eastAsia="es-CO"/>
        </w:rPr>
        <w:t>públicas del orden nacional y territorial, como referente de buena práctica</w:t>
      </w:r>
      <w:r w:rsidR="00C61C90" w:rsidRPr="00681EF8">
        <w:rPr>
          <w:rFonts w:ascii="Verdana" w:eastAsia="Times New Roman" w:hAnsi="Verdana" w:cs="Times New Roman"/>
          <w:lang w:eastAsia="es-CO"/>
        </w:rPr>
        <w:t xml:space="preserve"> para el cálculo de su obligación contingente</w:t>
      </w:r>
      <w:r w:rsidR="00441B6A" w:rsidRPr="00681EF8">
        <w:rPr>
          <w:rFonts w:ascii="Verdana" w:eastAsia="Times New Roman" w:hAnsi="Verdana" w:cs="Times New Roman"/>
          <w:lang w:eastAsia="es-CO"/>
        </w:rPr>
        <w:t>, la Resolución 437 de</w:t>
      </w:r>
      <w:r w:rsidR="00A47DCE" w:rsidRPr="00681EF8">
        <w:rPr>
          <w:rFonts w:ascii="Verdana" w:eastAsia="Times New Roman" w:hAnsi="Verdana" w:cs="Times New Roman"/>
          <w:lang w:eastAsia="es-CO"/>
        </w:rPr>
        <w:t xml:space="preserve"> 28 de julio de</w:t>
      </w:r>
      <w:r w:rsidR="00441B6A" w:rsidRPr="00681EF8">
        <w:rPr>
          <w:rFonts w:ascii="Verdana" w:eastAsia="Times New Roman" w:hAnsi="Verdana" w:cs="Times New Roman"/>
          <w:lang w:eastAsia="es-CO"/>
        </w:rPr>
        <w:t xml:space="preserve"> 2023</w:t>
      </w:r>
      <w:r w:rsidR="00A47DCE" w:rsidRPr="00681EF8">
        <w:rPr>
          <w:rFonts w:ascii="Verdana" w:eastAsia="Times New Roman" w:hAnsi="Verdana" w:cs="Times New Roman"/>
          <w:lang w:eastAsia="es-CO"/>
        </w:rPr>
        <w:t xml:space="preserve"> a través de la cual actualizó</w:t>
      </w:r>
      <w:r w:rsidR="00A47DCE" w:rsidRPr="00681EF8">
        <w:rPr>
          <w:rFonts w:ascii="Verdana" w:hAnsi="Verdana"/>
        </w:rPr>
        <w:t xml:space="preserve"> la metodología contenida en la Resolución 353 de 2016 en lo referente a la calificación de riesgo procesal y al cálculo de la obligación contingente para los procesos judiciales, conciliaciones extrajudiciales y trámites arbitrales para el registro en el Sistema Único de Gestión e Información Litigiosa del Estado e-KOGUI.</w:t>
      </w:r>
    </w:p>
    <w:p w14:paraId="4061E31F" w14:textId="77777777" w:rsidR="0095028D" w:rsidRPr="00681EF8" w:rsidRDefault="0095028D" w:rsidP="00B64A95">
      <w:pPr>
        <w:spacing w:after="0" w:line="240" w:lineRule="auto"/>
        <w:jc w:val="both"/>
        <w:rPr>
          <w:rFonts w:ascii="Verdana" w:eastAsia="Times New Roman" w:hAnsi="Verdana" w:cs="Times New Roman"/>
          <w:lang w:eastAsia="es-CO"/>
        </w:rPr>
      </w:pPr>
    </w:p>
    <w:p w14:paraId="298A5D89" w14:textId="1C96AC1D" w:rsidR="004B78B7" w:rsidRPr="00681EF8" w:rsidRDefault="004B78B7" w:rsidP="00B64A95">
      <w:pPr>
        <w:spacing w:after="0" w:line="240" w:lineRule="auto"/>
        <w:jc w:val="both"/>
        <w:rPr>
          <w:rFonts w:ascii="Verdana" w:eastAsia="Times New Roman" w:hAnsi="Verdana" w:cs="Times New Roman"/>
          <w:lang w:eastAsia="es-CO"/>
        </w:rPr>
      </w:pPr>
    </w:p>
    <w:p w14:paraId="49B1FADF" w14:textId="424327FF" w:rsidR="00C16F76" w:rsidRPr="00681EF8" w:rsidRDefault="00C16F76" w:rsidP="00B64A95">
      <w:pPr>
        <w:spacing w:after="0" w:line="240" w:lineRule="auto"/>
        <w:jc w:val="both"/>
        <w:rPr>
          <w:rFonts w:ascii="Verdana" w:eastAsia="Times New Roman" w:hAnsi="Verdana" w:cs="Times New Roman"/>
          <w:lang w:eastAsia="es-CO"/>
        </w:rPr>
      </w:pPr>
      <w:r w:rsidRPr="00681EF8">
        <w:rPr>
          <w:rFonts w:ascii="Verdana" w:eastAsia="Times New Roman" w:hAnsi="Verdana" w:cs="Times New Roman"/>
          <w:lang w:eastAsia="es-CO"/>
        </w:rPr>
        <w:t xml:space="preserve">La </w:t>
      </w:r>
      <w:r w:rsidRPr="00681EF8">
        <w:rPr>
          <w:rFonts w:ascii="Verdana" w:eastAsia="Times New Roman" w:hAnsi="Verdana" w:cs="Times New Roman"/>
          <w:b/>
          <w:bCs/>
          <w:lang w:eastAsia="es-CO"/>
        </w:rPr>
        <w:t>[</w:t>
      </w:r>
      <w:r w:rsidRPr="00681EF8">
        <w:rPr>
          <w:rFonts w:ascii="Verdana" w:hAnsi="Verdana"/>
          <w:b/>
        </w:rPr>
        <w:t>entidad XXXXXXXXXXXX</w:t>
      </w:r>
      <w:r w:rsidRPr="00681EF8">
        <w:rPr>
          <w:rFonts w:ascii="Verdana" w:eastAsia="Times New Roman" w:hAnsi="Verdana" w:cs="Times New Roman"/>
          <w:b/>
          <w:bCs/>
          <w:lang w:eastAsia="es-CO"/>
        </w:rPr>
        <w:t>]</w:t>
      </w:r>
      <w:r w:rsidR="00945E4E" w:rsidRPr="00681EF8">
        <w:rPr>
          <w:rFonts w:ascii="Verdana" w:eastAsia="Times New Roman" w:hAnsi="Verdana" w:cs="Times New Roman"/>
          <w:b/>
          <w:bCs/>
          <w:lang w:eastAsia="es-CO"/>
        </w:rPr>
        <w:t>,</w:t>
      </w:r>
      <w:r w:rsidRPr="00681EF8">
        <w:rPr>
          <w:rFonts w:ascii="Verdana" w:eastAsia="Times New Roman" w:hAnsi="Verdana" w:cs="Times New Roman"/>
          <w:lang w:eastAsia="es-CO"/>
        </w:rPr>
        <w:t xml:space="preserve"> como parte de un proceso de mejora continua</w:t>
      </w:r>
      <w:r w:rsidR="00945E4E" w:rsidRPr="00681EF8">
        <w:rPr>
          <w:rFonts w:ascii="Verdana" w:eastAsia="Times New Roman" w:hAnsi="Verdana" w:cs="Times New Roman"/>
          <w:lang w:eastAsia="es-CO"/>
        </w:rPr>
        <w:t>,</w:t>
      </w:r>
      <w:r w:rsidRPr="00681EF8">
        <w:rPr>
          <w:rFonts w:ascii="Verdana" w:eastAsia="Times New Roman" w:hAnsi="Verdana" w:cs="Times New Roman"/>
          <w:lang w:eastAsia="es-CO"/>
        </w:rPr>
        <w:t xml:space="preserve"> encuentra necesario adoptar </w:t>
      </w:r>
      <w:r w:rsidRPr="00681EF8">
        <w:rPr>
          <w:rFonts w:ascii="Verdana" w:eastAsia="Times New Roman" w:hAnsi="Verdana" w:cs="Times New Roman"/>
          <w:b/>
          <w:bCs/>
          <w:lang w:eastAsia="es-CO"/>
        </w:rPr>
        <w:t xml:space="preserve">[o </w:t>
      </w:r>
      <w:r w:rsidRPr="00681EF8">
        <w:rPr>
          <w:rFonts w:ascii="Verdana" w:hAnsi="Verdana"/>
          <w:b/>
        </w:rPr>
        <w:t>actualizar</w:t>
      </w:r>
      <w:r w:rsidRPr="00681EF8">
        <w:rPr>
          <w:rFonts w:ascii="Verdana" w:eastAsia="Times New Roman" w:hAnsi="Verdana" w:cs="Times New Roman"/>
          <w:b/>
          <w:bCs/>
          <w:lang w:eastAsia="es-CO"/>
        </w:rPr>
        <w:t>]</w:t>
      </w:r>
      <w:r w:rsidRPr="00681EF8">
        <w:rPr>
          <w:rFonts w:ascii="Verdana" w:eastAsia="Times New Roman" w:hAnsi="Verdana" w:cs="Times New Roman"/>
          <w:lang w:eastAsia="es-CO"/>
        </w:rPr>
        <w:t xml:space="preserve"> una metodología para el cálculo de la obligación contingente de los procesos judiciales, conciliaciones extrajudiciales y trámites arbitrales que se adelanten contra la entidad teniendo en cuenta la adoptada por la Agencia Nacional de Defensa Jurídica del Estado y lo sugerido por la CGN.</w:t>
      </w:r>
    </w:p>
    <w:p w14:paraId="37D7703D" w14:textId="77777777" w:rsidR="004B78B7" w:rsidRPr="00681EF8" w:rsidRDefault="004B78B7" w:rsidP="00B64A95">
      <w:pPr>
        <w:spacing w:after="0" w:line="240" w:lineRule="auto"/>
        <w:jc w:val="both"/>
        <w:rPr>
          <w:rFonts w:ascii="Verdana" w:hAnsi="Verdana"/>
        </w:rPr>
      </w:pPr>
    </w:p>
    <w:p w14:paraId="1E179B81" w14:textId="57604EE6" w:rsidR="00A703E0" w:rsidRPr="00681EF8" w:rsidRDefault="007D0D96" w:rsidP="00B64A95">
      <w:pPr>
        <w:spacing w:after="0" w:line="240" w:lineRule="auto"/>
        <w:jc w:val="both"/>
        <w:rPr>
          <w:rFonts w:ascii="Verdana" w:hAnsi="Verdana"/>
        </w:rPr>
      </w:pPr>
      <w:r w:rsidRPr="00681EF8">
        <w:rPr>
          <w:rFonts w:ascii="Verdana" w:hAnsi="Verdana"/>
        </w:rPr>
        <w:t>E</w:t>
      </w:r>
      <w:r w:rsidR="00A703E0" w:rsidRPr="00681EF8">
        <w:rPr>
          <w:rFonts w:ascii="Verdana" w:hAnsi="Verdana"/>
        </w:rPr>
        <w:t>n mérito de lo anterior,</w:t>
      </w:r>
    </w:p>
    <w:p w14:paraId="0AB5673A" w14:textId="77777777" w:rsidR="00A703E0" w:rsidRPr="00681EF8" w:rsidRDefault="00A703E0" w:rsidP="00B64A95">
      <w:pPr>
        <w:spacing w:after="0" w:line="240" w:lineRule="auto"/>
        <w:jc w:val="both"/>
        <w:rPr>
          <w:rFonts w:ascii="Verdana" w:hAnsi="Verdana"/>
          <w:b/>
        </w:rPr>
      </w:pPr>
    </w:p>
    <w:p w14:paraId="7AE03B9B" w14:textId="77777777" w:rsidR="00A703E0" w:rsidRPr="00681EF8" w:rsidRDefault="00A703E0" w:rsidP="00B64A95">
      <w:pPr>
        <w:spacing w:after="0" w:line="240" w:lineRule="auto"/>
        <w:jc w:val="center"/>
        <w:rPr>
          <w:rFonts w:ascii="Verdana" w:hAnsi="Verdana"/>
          <w:b/>
        </w:rPr>
      </w:pPr>
      <w:r w:rsidRPr="00681EF8">
        <w:rPr>
          <w:rFonts w:ascii="Verdana" w:hAnsi="Verdana"/>
          <w:b/>
        </w:rPr>
        <w:t>RESUELVE</w:t>
      </w:r>
    </w:p>
    <w:p w14:paraId="075BAA30" w14:textId="77777777" w:rsidR="00A703E0" w:rsidRPr="00681EF8" w:rsidRDefault="00A703E0" w:rsidP="00B64A95">
      <w:pPr>
        <w:spacing w:after="0" w:line="240" w:lineRule="auto"/>
        <w:jc w:val="center"/>
        <w:rPr>
          <w:rFonts w:ascii="Verdana" w:hAnsi="Verdana"/>
          <w:b/>
        </w:rPr>
      </w:pPr>
    </w:p>
    <w:p w14:paraId="629CB719" w14:textId="77777777" w:rsidR="00A703E0" w:rsidRPr="00681EF8" w:rsidRDefault="00A703E0" w:rsidP="00B64A95">
      <w:pPr>
        <w:spacing w:after="0" w:line="240" w:lineRule="auto"/>
        <w:jc w:val="center"/>
        <w:rPr>
          <w:rFonts w:ascii="Verdana" w:hAnsi="Verdana"/>
          <w:b/>
        </w:rPr>
      </w:pPr>
      <w:r w:rsidRPr="00681EF8">
        <w:rPr>
          <w:rFonts w:ascii="Verdana" w:hAnsi="Verdana"/>
          <w:b/>
        </w:rPr>
        <w:lastRenderedPageBreak/>
        <w:t xml:space="preserve">CAPÍTULO I </w:t>
      </w:r>
    </w:p>
    <w:p w14:paraId="100DB4FD" w14:textId="5F6AFDFC" w:rsidR="00A703E0" w:rsidRPr="00681EF8" w:rsidRDefault="00A703E0" w:rsidP="00B64A95">
      <w:pPr>
        <w:spacing w:after="0" w:line="240" w:lineRule="auto"/>
        <w:jc w:val="center"/>
        <w:rPr>
          <w:rFonts w:ascii="Verdana" w:hAnsi="Verdana"/>
          <w:b/>
        </w:rPr>
      </w:pPr>
      <w:r w:rsidRPr="00681EF8">
        <w:rPr>
          <w:rFonts w:ascii="Verdana" w:hAnsi="Verdana"/>
          <w:b/>
        </w:rPr>
        <w:t xml:space="preserve">Generalidades </w:t>
      </w:r>
    </w:p>
    <w:p w14:paraId="78E4F9F7" w14:textId="77777777" w:rsidR="00A703E0" w:rsidRPr="00681EF8" w:rsidRDefault="00A703E0" w:rsidP="00B64A95">
      <w:pPr>
        <w:spacing w:after="0" w:line="240" w:lineRule="auto"/>
        <w:jc w:val="center"/>
        <w:rPr>
          <w:rFonts w:ascii="Verdana" w:hAnsi="Verdana"/>
          <w:b/>
        </w:rPr>
      </w:pPr>
    </w:p>
    <w:p w14:paraId="2D5C55B2" w14:textId="77777777" w:rsidR="00F6668F" w:rsidRPr="00681EF8" w:rsidRDefault="00F6668F" w:rsidP="00B64A95">
      <w:pPr>
        <w:spacing w:after="0" w:line="240" w:lineRule="auto"/>
        <w:jc w:val="center"/>
        <w:rPr>
          <w:rFonts w:ascii="Verdana" w:hAnsi="Verdana"/>
          <w:b/>
        </w:rPr>
      </w:pPr>
    </w:p>
    <w:p w14:paraId="264AC781" w14:textId="5E434ECF" w:rsidR="00A703E0" w:rsidRPr="00681EF8" w:rsidRDefault="00A66176" w:rsidP="00B64A95">
      <w:pPr>
        <w:pStyle w:val="Prrafodelista"/>
        <w:spacing w:after="0" w:line="240" w:lineRule="auto"/>
        <w:ind w:left="0"/>
        <w:jc w:val="both"/>
        <w:rPr>
          <w:rFonts w:ascii="Verdana" w:hAnsi="Verdana"/>
          <w:b/>
        </w:rPr>
      </w:pPr>
      <w:r w:rsidRPr="00681EF8">
        <w:rPr>
          <w:rFonts w:ascii="Verdana" w:hAnsi="Verdana"/>
          <w:b/>
        </w:rPr>
        <w:t xml:space="preserve">Artículo 1o. </w:t>
      </w:r>
      <w:r w:rsidRPr="00681EF8">
        <w:rPr>
          <w:rFonts w:ascii="Verdana" w:hAnsi="Verdana"/>
        </w:rPr>
        <w:t xml:space="preserve">Adoptar </w:t>
      </w:r>
      <w:r w:rsidR="005944EE" w:rsidRPr="00681EF8">
        <w:rPr>
          <w:rFonts w:ascii="Verdana" w:hAnsi="Verdana"/>
        </w:rPr>
        <w:t xml:space="preserve">una </w:t>
      </w:r>
      <w:r w:rsidRPr="00681EF8">
        <w:rPr>
          <w:rFonts w:ascii="Verdana" w:hAnsi="Verdana"/>
        </w:rPr>
        <w:t xml:space="preserve">metodología para la calificación del riesgo y el cálculo de la obligación contingente de los procesos judiciales, conciliaciones extrajudiciales y trámites arbitrales que se </w:t>
      </w:r>
      <w:r w:rsidR="00C87D43" w:rsidRPr="00681EF8">
        <w:rPr>
          <w:rFonts w:ascii="Verdana" w:hAnsi="Verdana"/>
        </w:rPr>
        <w:t>adelanten contra</w:t>
      </w:r>
      <w:r w:rsidRPr="00681EF8">
        <w:rPr>
          <w:rFonts w:ascii="Verdana" w:hAnsi="Verdana"/>
        </w:rPr>
        <w:t xml:space="preserve"> la entidad</w:t>
      </w:r>
      <w:r w:rsidR="00312706" w:rsidRPr="00681EF8">
        <w:rPr>
          <w:rFonts w:ascii="Verdana" w:hAnsi="Verdana"/>
        </w:rPr>
        <w:t>.</w:t>
      </w:r>
    </w:p>
    <w:p w14:paraId="390F6533" w14:textId="77777777" w:rsidR="00A66176" w:rsidRPr="00681EF8" w:rsidRDefault="00A66176" w:rsidP="00B64A95">
      <w:pPr>
        <w:spacing w:after="0" w:line="240" w:lineRule="auto"/>
        <w:jc w:val="both"/>
        <w:rPr>
          <w:rFonts w:ascii="Verdana" w:hAnsi="Verdana"/>
          <w:b/>
        </w:rPr>
      </w:pPr>
    </w:p>
    <w:p w14:paraId="1DD47655" w14:textId="72BC3378" w:rsidR="00A703E0" w:rsidRPr="00681EF8" w:rsidRDefault="00A703E0" w:rsidP="00B64A95">
      <w:pPr>
        <w:spacing w:after="0" w:line="240" w:lineRule="auto"/>
        <w:jc w:val="both"/>
        <w:rPr>
          <w:rFonts w:ascii="Verdana" w:hAnsi="Verdana"/>
          <w:b/>
        </w:rPr>
      </w:pPr>
      <w:r w:rsidRPr="00681EF8">
        <w:rPr>
          <w:rFonts w:ascii="Verdana" w:hAnsi="Verdana"/>
          <w:b/>
        </w:rPr>
        <w:t>Artículo 2o. Definiciones:</w:t>
      </w:r>
    </w:p>
    <w:p w14:paraId="7ACC65E1" w14:textId="77777777" w:rsidR="00A703E0" w:rsidRPr="00681EF8" w:rsidRDefault="00A703E0" w:rsidP="00B64A95">
      <w:pPr>
        <w:pStyle w:val="Prrafodelista"/>
        <w:spacing w:after="0" w:line="240" w:lineRule="auto"/>
        <w:jc w:val="both"/>
        <w:rPr>
          <w:rFonts w:ascii="Verdana" w:hAnsi="Verdana"/>
          <w:b/>
        </w:rPr>
      </w:pPr>
    </w:p>
    <w:p w14:paraId="0E6D6220" w14:textId="77777777" w:rsidR="00A703E0" w:rsidRPr="00681EF8" w:rsidRDefault="00A703E0" w:rsidP="00B64A95">
      <w:pPr>
        <w:pStyle w:val="Prrafodelista"/>
        <w:numPr>
          <w:ilvl w:val="0"/>
          <w:numId w:val="1"/>
        </w:numPr>
        <w:spacing w:after="0" w:line="240" w:lineRule="auto"/>
        <w:ind w:left="360"/>
        <w:jc w:val="both"/>
        <w:rPr>
          <w:rFonts w:ascii="Verdana" w:hAnsi="Verdana"/>
        </w:rPr>
      </w:pPr>
      <w:r w:rsidRPr="00681EF8">
        <w:rPr>
          <w:rFonts w:ascii="Verdana" w:hAnsi="Verdana"/>
          <w:b/>
        </w:rPr>
        <w:t>Provisión contable:</w:t>
      </w:r>
      <w:r w:rsidRPr="00681EF8">
        <w:rPr>
          <w:rFonts w:ascii="Verdana" w:hAnsi="Verdana"/>
        </w:rPr>
        <w:t xml:space="preserve"> pasivos a cargo de la entidad que estén sujetos a condiciones de incertidumbre en relación con su cuantía y/o vencimiento.</w:t>
      </w:r>
    </w:p>
    <w:p w14:paraId="155A22FF" w14:textId="77777777" w:rsidR="00A703E0" w:rsidRPr="00681EF8" w:rsidRDefault="00A703E0" w:rsidP="00B64A95">
      <w:pPr>
        <w:spacing w:after="0" w:line="240" w:lineRule="auto"/>
        <w:jc w:val="both"/>
        <w:rPr>
          <w:rFonts w:ascii="Verdana" w:hAnsi="Verdana"/>
        </w:rPr>
      </w:pPr>
    </w:p>
    <w:p w14:paraId="3DFD3B0C" w14:textId="510745BC" w:rsidR="00A703E0" w:rsidRPr="00681EF8" w:rsidRDefault="00A703E0" w:rsidP="00B64A95">
      <w:pPr>
        <w:pStyle w:val="Prrafodelista"/>
        <w:numPr>
          <w:ilvl w:val="0"/>
          <w:numId w:val="1"/>
        </w:numPr>
        <w:spacing w:after="0" w:line="240" w:lineRule="auto"/>
        <w:ind w:left="360"/>
        <w:jc w:val="both"/>
        <w:rPr>
          <w:rFonts w:ascii="Verdana" w:hAnsi="Verdana"/>
        </w:rPr>
      </w:pPr>
      <w:r w:rsidRPr="00681EF8">
        <w:rPr>
          <w:rFonts w:ascii="Verdana" w:hAnsi="Verdana"/>
          <w:b/>
        </w:rPr>
        <w:t>Calificación del riesgo procesal:</w:t>
      </w:r>
      <w:r w:rsidRPr="00681EF8">
        <w:rPr>
          <w:rFonts w:ascii="Verdana" w:hAnsi="Verdana"/>
        </w:rPr>
        <w:t xml:space="preserve"> determinación del riesgo de pérdida de un proceso, trámite arbitral o erogación de una conciliación </w:t>
      </w:r>
      <w:r w:rsidR="006A4F50" w:rsidRPr="00681EF8">
        <w:rPr>
          <w:rFonts w:ascii="Verdana" w:hAnsi="Verdana"/>
        </w:rPr>
        <w:t>contra</w:t>
      </w:r>
      <w:r w:rsidRPr="00681EF8">
        <w:rPr>
          <w:rFonts w:ascii="Verdana" w:hAnsi="Verdana"/>
        </w:rPr>
        <w:t xml:space="preserve"> la entidad mediante la aplicación de una metodología técnica. La calificación del riesgo procesal es responsabilidad del/la apoderado/a de cada proceso.</w:t>
      </w:r>
    </w:p>
    <w:p w14:paraId="36CF0DDB" w14:textId="77777777" w:rsidR="00A703E0" w:rsidRPr="00681EF8" w:rsidRDefault="00A703E0" w:rsidP="00B64A95">
      <w:pPr>
        <w:pStyle w:val="Prrafodelista"/>
        <w:spacing w:after="0" w:line="240" w:lineRule="auto"/>
        <w:ind w:left="360"/>
        <w:jc w:val="both"/>
        <w:rPr>
          <w:rFonts w:ascii="Verdana" w:hAnsi="Verdana"/>
        </w:rPr>
      </w:pPr>
    </w:p>
    <w:p w14:paraId="405363E0" w14:textId="1F0B2D2B" w:rsidR="00A703E0" w:rsidRPr="00681EF8" w:rsidRDefault="00A703E0" w:rsidP="00B64A95">
      <w:pPr>
        <w:pStyle w:val="Prrafodelista"/>
        <w:numPr>
          <w:ilvl w:val="0"/>
          <w:numId w:val="1"/>
        </w:numPr>
        <w:spacing w:after="0" w:line="240" w:lineRule="auto"/>
        <w:ind w:left="360"/>
        <w:jc w:val="both"/>
        <w:rPr>
          <w:rFonts w:ascii="Verdana" w:hAnsi="Verdana"/>
        </w:rPr>
      </w:pPr>
      <w:r w:rsidRPr="00681EF8">
        <w:rPr>
          <w:rFonts w:ascii="Verdana" w:hAnsi="Verdana"/>
          <w:b/>
        </w:rPr>
        <w:t>Probabilidad de pérdida de un proceso:</w:t>
      </w:r>
      <w:r w:rsidRPr="00681EF8">
        <w:rPr>
          <w:rFonts w:ascii="Verdana" w:hAnsi="Verdana"/>
        </w:rPr>
        <w:t xml:space="preserve"> valoración porcentual derivada de la calificación del riesgo procesal que indica en mayor o menor proporción la tasa de éxito o fracaso futuro de un proceso </w:t>
      </w:r>
      <w:r w:rsidR="006A4F50" w:rsidRPr="00681EF8">
        <w:rPr>
          <w:rFonts w:ascii="Verdana" w:hAnsi="Verdana"/>
        </w:rPr>
        <w:t>contra</w:t>
      </w:r>
      <w:r w:rsidRPr="00681EF8">
        <w:rPr>
          <w:rFonts w:ascii="Verdana" w:hAnsi="Verdana"/>
        </w:rPr>
        <w:t xml:space="preserve"> la entidad.</w:t>
      </w:r>
    </w:p>
    <w:p w14:paraId="5A2B4FA1" w14:textId="77777777" w:rsidR="00A703E0" w:rsidRPr="00681EF8" w:rsidRDefault="00A703E0" w:rsidP="00B64A95">
      <w:pPr>
        <w:pStyle w:val="Prrafodelista"/>
        <w:spacing w:after="0" w:line="240" w:lineRule="auto"/>
        <w:ind w:left="360"/>
        <w:rPr>
          <w:rFonts w:ascii="Verdana" w:hAnsi="Verdana"/>
        </w:rPr>
      </w:pPr>
    </w:p>
    <w:p w14:paraId="4F7C8CFC" w14:textId="77777777" w:rsidR="009C3301" w:rsidRPr="00681EF8" w:rsidRDefault="009C3301" w:rsidP="00B64A95">
      <w:pPr>
        <w:pStyle w:val="Prrafodelista"/>
        <w:numPr>
          <w:ilvl w:val="0"/>
          <w:numId w:val="1"/>
        </w:numPr>
        <w:spacing w:after="0" w:line="240" w:lineRule="auto"/>
        <w:ind w:left="360"/>
        <w:jc w:val="both"/>
        <w:rPr>
          <w:rFonts w:ascii="Verdana" w:hAnsi="Verdana"/>
        </w:rPr>
      </w:pPr>
      <w:r w:rsidRPr="00681EF8">
        <w:rPr>
          <w:rFonts w:ascii="Verdana" w:hAnsi="Verdana"/>
          <w:b/>
        </w:rPr>
        <w:t>Pretensiones determinadas:</w:t>
      </w:r>
      <w:r w:rsidRPr="00681EF8">
        <w:rPr>
          <w:rFonts w:ascii="Verdana" w:hAnsi="Verdana"/>
        </w:rPr>
        <w:t xml:space="preserve"> aquellas por las cuales se pide el reconocimiento de un derecho que ha sido definido en la convocatoria de conciliación o en la demanda.</w:t>
      </w:r>
    </w:p>
    <w:p w14:paraId="2F39B02D" w14:textId="77777777" w:rsidR="00A703E0" w:rsidRPr="00681EF8" w:rsidRDefault="00A703E0" w:rsidP="00B64A95">
      <w:pPr>
        <w:pStyle w:val="Prrafodelista"/>
        <w:spacing w:after="0" w:line="240" w:lineRule="auto"/>
        <w:ind w:left="360"/>
        <w:rPr>
          <w:rFonts w:ascii="Verdana" w:hAnsi="Verdana"/>
        </w:rPr>
      </w:pPr>
    </w:p>
    <w:p w14:paraId="71E8A8E5" w14:textId="77777777" w:rsidR="003B69A8" w:rsidRPr="00681EF8" w:rsidRDefault="003B69A8" w:rsidP="00B64A95">
      <w:pPr>
        <w:pStyle w:val="Prrafodelista"/>
        <w:numPr>
          <w:ilvl w:val="0"/>
          <w:numId w:val="1"/>
        </w:numPr>
        <w:spacing w:after="0" w:line="240" w:lineRule="auto"/>
        <w:ind w:left="360"/>
        <w:jc w:val="both"/>
        <w:rPr>
          <w:rFonts w:ascii="Verdana" w:hAnsi="Verdana"/>
        </w:rPr>
      </w:pPr>
      <w:r w:rsidRPr="00681EF8">
        <w:rPr>
          <w:rFonts w:ascii="Verdana" w:hAnsi="Verdana"/>
          <w:b/>
        </w:rPr>
        <w:t>Pretensiones indeterminadas:</w:t>
      </w:r>
      <w:r w:rsidRPr="00681EF8">
        <w:rPr>
          <w:rFonts w:ascii="Verdana" w:hAnsi="Verdana"/>
        </w:rPr>
        <w:t xml:space="preserve"> aquellas por las cuales se pide el reconocimiento de un derecho que no ha sido expresamente definido en la solicitud de conciliación o en la demanda.</w:t>
      </w:r>
    </w:p>
    <w:p w14:paraId="50D2FB17" w14:textId="77777777" w:rsidR="00A703E0" w:rsidRPr="00681EF8" w:rsidRDefault="00A703E0" w:rsidP="00B64A95">
      <w:pPr>
        <w:pStyle w:val="Prrafodelista"/>
        <w:spacing w:after="0" w:line="240" w:lineRule="auto"/>
        <w:ind w:left="360"/>
        <w:rPr>
          <w:rFonts w:ascii="Verdana" w:hAnsi="Verdana"/>
        </w:rPr>
      </w:pPr>
    </w:p>
    <w:p w14:paraId="48F77520" w14:textId="77777777" w:rsidR="00A703E0" w:rsidRPr="00681EF8" w:rsidRDefault="00A703E0" w:rsidP="00B64A95">
      <w:pPr>
        <w:pStyle w:val="Prrafodelista"/>
        <w:numPr>
          <w:ilvl w:val="0"/>
          <w:numId w:val="1"/>
        </w:numPr>
        <w:spacing w:after="0" w:line="240" w:lineRule="auto"/>
        <w:ind w:left="360"/>
        <w:jc w:val="both"/>
        <w:rPr>
          <w:rFonts w:ascii="Verdana" w:hAnsi="Verdana"/>
        </w:rPr>
      </w:pPr>
      <w:r w:rsidRPr="00681EF8">
        <w:rPr>
          <w:rFonts w:ascii="Verdana" w:hAnsi="Verdana"/>
          <w:b/>
        </w:rPr>
        <w:t>Pretensiones que incluyen prestaciones periódicas:</w:t>
      </w:r>
      <w:r w:rsidRPr="00681EF8">
        <w:rPr>
          <w:rFonts w:ascii="Verdana" w:hAnsi="Verdana"/>
        </w:rPr>
        <w:t xml:space="preserve"> aquellas por las cuales se solicita el reconocimiento y pago de prestaciones periódicas.</w:t>
      </w:r>
    </w:p>
    <w:p w14:paraId="5855294F" w14:textId="77777777" w:rsidR="00A703E0" w:rsidRPr="00681EF8" w:rsidRDefault="00A703E0" w:rsidP="00B64A95">
      <w:pPr>
        <w:pStyle w:val="Prrafodelista"/>
        <w:spacing w:after="0" w:line="240" w:lineRule="auto"/>
        <w:ind w:left="360"/>
        <w:rPr>
          <w:rFonts w:ascii="Verdana" w:hAnsi="Verdana"/>
        </w:rPr>
      </w:pPr>
    </w:p>
    <w:p w14:paraId="561EAFFD" w14:textId="62DB871D" w:rsidR="00A703E0" w:rsidRPr="00681EF8" w:rsidRDefault="00A703E0" w:rsidP="00B64A95">
      <w:pPr>
        <w:pStyle w:val="Prrafodelista"/>
        <w:numPr>
          <w:ilvl w:val="0"/>
          <w:numId w:val="1"/>
        </w:numPr>
        <w:spacing w:after="0" w:line="240" w:lineRule="auto"/>
        <w:ind w:left="360"/>
        <w:jc w:val="both"/>
        <w:rPr>
          <w:rFonts w:ascii="Verdana" w:hAnsi="Verdana"/>
        </w:rPr>
      </w:pPr>
      <w:r w:rsidRPr="00681EF8">
        <w:rPr>
          <w:rFonts w:ascii="Verdana" w:hAnsi="Verdana"/>
          <w:b/>
        </w:rPr>
        <w:t>Tasa de relación condena/pretensión:</w:t>
      </w:r>
      <w:r w:rsidRPr="00681EF8">
        <w:rPr>
          <w:rFonts w:ascii="Verdana" w:hAnsi="Verdana"/>
        </w:rPr>
        <w:t xml:space="preserve"> valoración económica realizada por el</w:t>
      </w:r>
      <w:r w:rsidR="0018662D" w:rsidRPr="00681EF8">
        <w:rPr>
          <w:rFonts w:ascii="Verdana" w:hAnsi="Verdana"/>
        </w:rPr>
        <w:t>/la</w:t>
      </w:r>
      <w:r w:rsidRPr="00681EF8">
        <w:rPr>
          <w:rFonts w:ascii="Verdana" w:hAnsi="Verdana"/>
        </w:rPr>
        <w:t xml:space="preserve"> apoderado/a de la entidad de las pretensiones solicitadas, teniendo en cuenta los criterios técnicos y jurisprudenciales necesarios para estimar el monto de la posible condena en caso de pérdida.</w:t>
      </w:r>
    </w:p>
    <w:p w14:paraId="72525326" w14:textId="77777777" w:rsidR="00A703E0" w:rsidRPr="00681EF8" w:rsidRDefault="00A703E0" w:rsidP="00B64A95">
      <w:pPr>
        <w:pStyle w:val="Prrafodelista"/>
        <w:spacing w:after="0" w:line="240" w:lineRule="auto"/>
        <w:ind w:left="360"/>
        <w:rPr>
          <w:rFonts w:ascii="Verdana" w:hAnsi="Verdana"/>
        </w:rPr>
      </w:pPr>
    </w:p>
    <w:p w14:paraId="5B4CDBA1" w14:textId="77777777" w:rsidR="00A703E0" w:rsidRPr="00681EF8" w:rsidRDefault="00A703E0" w:rsidP="00B64A95">
      <w:pPr>
        <w:pStyle w:val="Prrafodelista"/>
        <w:numPr>
          <w:ilvl w:val="0"/>
          <w:numId w:val="1"/>
        </w:numPr>
        <w:spacing w:after="0" w:line="240" w:lineRule="auto"/>
        <w:ind w:left="360"/>
        <w:jc w:val="both"/>
        <w:rPr>
          <w:rFonts w:ascii="Verdana" w:hAnsi="Verdana"/>
          <w:b/>
        </w:rPr>
      </w:pPr>
      <w:r w:rsidRPr="00681EF8">
        <w:rPr>
          <w:rFonts w:ascii="Verdana" w:hAnsi="Verdana"/>
          <w:b/>
        </w:rPr>
        <w:t>Tasa de descuento</w:t>
      </w:r>
      <w:r w:rsidRPr="00681EF8">
        <w:rPr>
          <w:rFonts w:ascii="Verdana" w:hAnsi="Verdana"/>
        </w:rPr>
        <w:t>: factor financiero que se utiliza para determinar el valor del dinero en el tiempo, en este caso, para calcular el valor actual del capital futuro. La tasa de descuento que se utilizará para el procedimiento corresponde a la tasa vigente al momento del registro,</w:t>
      </w:r>
      <w:r w:rsidRPr="00681EF8">
        <w:rPr>
          <w:rFonts w:ascii="Verdana" w:hAnsi="Verdana"/>
          <w:b/>
        </w:rPr>
        <w:t xml:space="preserve"> </w:t>
      </w:r>
      <w:r w:rsidRPr="00681EF8">
        <w:rPr>
          <w:rFonts w:ascii="Verdana" w:hAnsi="Verdana"/>
        </w:rPr>
        <w:t>de los títulos TES cero cupones en pesos, que publica el Banco de la República, con periodicidad mensual, así:</w:t>
      </w:r>
    </w:p>
    <w:p w14:paraId="2E928F06" w14:textId="77777777" w:rsidR="00A703E0" w:rsidRPr="00681EF8" w:rsidRDefault="00A703E0" w:rsidP="00B64A95">
      <w:pPr>
        <w:pStyle w:val="Prrafodelista"/>
        <w:spacing w:after="0" w:line="240" w:lineRule="auto"/>
        <w:rPr>
          <w:rFonts w:ascii="Verdana" w:hAnsi="Verdana"/>
        </w:rPr>
      </w:pPr>
    </w:p>
    <w:p w14:paraId="4785A35C" w14:textId="77777777" w:rsidR="00A703E0" w:rsidRPr="00681EF8" w:rsidRDefault="00A703E0" w:rsidP="00B64A95">
      <w:pPr>
        <w:pStyle w:val="Prrafodelista"/>
        <w:numPr>
          <w:ilvl w:val="0"/>
          <w:numId w:val="31"/>
        </w:numPr>
        <w:spacing w:after="0" w:line="240" w:lineRule="auto"/>
        <w:jc w:val="both"/>
        <w:rPr>
          <w:rFonts w:ascii="Verdana" w:hAnsi="Verdana"/>
          <w:b/>
        </w:rPr>
      </w:pPr>
      <w:r w:rsidRPr="00681EF8">
        <w:rPr>
          <w:rFonts w:ascii="Verdana" w:hAnsi="Verdana"/>
        </w:rPr>
        <w:t xml:space="preserve">Si el proceso tiene una duración estimada menor a tres años, se utilizará la tasa a un año. </w:t>
      </w:r>
    </w:p>
    <w:p w14:paraId="6CD8D384" w14:textId="77777777" w:rsidR="00A703E0" w:rsidRPr="00681EF8" w:rsidRDefault="00A703E0" w:rsidP="00B64A95">
      <w:pPr>
        <w:pStyle w:val="Prrafodelista"/>
        <w:numPr>
          <w:ilvl w:val="0"/>
          <w:numId w:val="31"/>
        </w:numPr>
        <w:spacing w:after="0" w:line="240" w:lineRule="auto"/>
        <w:jc w:val="both"/>
        <w:rPr>
          <w:rFonts w:ascii="Verdana" w:hAnsi="Verdana"/>
          <w:b/>
        </w:rPr>
      </w:pPr>
      <w:r w:rsidRPr="00681EF8">
        <w:rPr>
          <w:rFonts w:ascii="Verdana" w:hAnsi="Verdana"/>
        </w:rPr>
        <w:t xml:space="preserve">Si el proceso tiene una duración estimada entre tres y siete años, se utilizará la tasa a cinco años. </w:t>
      </w:r>
    </w:p>
    <w:p w14:paraId="553759A6" w14:textId="77777777" w:rsidR="00A703E0" w:rsidRPr="00681EF8" w:rsidRDefault="00A703E0" w:rsidP="00B64A95">
      <w:pPr>
        <w:pStyle w:val="Prrafodelista"/>
        <w:numPr>
          <w:ilvl w:val="0"/>
          <w:numId w:val="31"/>
        </w:numPr>
        <w:spacing w:after="0" w:line="240" w:lineRule="auto"/>
        <w:jc w:val="both"/>
        <w:rPr>
          <w:rFonts w:ascii="Verdana" w:hAnsi="Verdana"/>
          <w:b/>
        </w:rPr>
      </w:pPr>
      <w:r w:rsidRPr="00681EF8">
        <w:rPr>
          <w:rFonts w:ascii="Verdana" w:hAnsi="Verdana"/>
        </w:rPr>
        <w:t>Si el proceso tiene una duración estimada mayor a siete años, se utilizará la tasa a diez años.</w:t>
      </w:r>
    </w:p>
    <w:p w14:paraId="47772852" w14:textId="77777777" w:rsidR="00A703E0" w:rsidRPr="00681EF8" w:rsidRDefault="00A703E0" w:rsidP="00B64A95">
      <w:pPr>
        <w:pStyle w:val="Prrafodelista"/>
        <w:spacing w:after="0" w:line="240" w:lineRule="auto"/>
        <w:ind w:left="360"/>
        <w:rPr>
          <w:rFonts w:ascii="Verdana" w:hAnsi="Verdana"/>
          <w:b/>
        </w:rPr>
      </w:pPr>
    </w:p>
    <w:p w14:paraId="4152A4A9" w14:textId="77777777" w:rsidR="00A703E0" w:rsidRPr="00681EF8" w:rsidRDefault="00A703E0" w:rsidP="00B64A95">
      <w:pPr>
        <w:pStyle w:val="Prrafodelista"/>
        <w:numPr>
          <w:ilvl w:val="0"/>
          <w:numId w:val="1"/>
        </w:numPr>
        <w:spacing w:after="0" w:line="240" w:lineRule="auto"/>
        <w:ind w:left="360"/>
        <w:jc w:val="both"/>
        <w:rPr>
          <w:rFonts w:ascii="Verdana" w:hAnsi="Verdana"/>
        </w:rPr>
      </w:pPr>
      <w:r w:rsidRPr="00681EF8">
        <w:rPr>
          <w:rFonts w:ascii="Verdana" w:hAnsi="Verdana"/>
          <w:b/>
        </w:rPr>
        <w:t xml:space="preserve">Tasa de indexación proyectada: </w:t>
      </w:r>
      <w:r w:rsidRPr="00681EF8">
        <w:rPr>
          <w:rFonts w:ascii="Verdana" w:hAnsi="Verdana"/>
        </w:rPr>
        <w:t>corresponde a la inflación proyectada para los años que faltan para la terminación del proceso. El valor se extrae de la encuesta mensual de expectativas de analistas económicos publicada por el Banco de la República.</w:t>
      </w:r>
    </w:p>
    <w:p w14:paraId="1A83BD31" w14:textId="77777777" w:rsidR="00A703E0" w:rsidRPr="00681EF8" w:rsidRDefault="00A703E0" w:rsidP="00B64A95">
      <w:pPr>
        <w:pStyle w:val="Prrafodelista"/>
        <w:spacing w:after="0" w:line="240" w:lineRule="auto"/>
        <w:rPr>
          <w:rFonts w:ascii="Verdana" w:hAnsi="Verdana"/>
          <w:b/>
        </w:rPr>
      </w:pPr>
    </w:p>
    <w:p w14:paraId="4AFDB374" w14:textId="77777777" w:rsidR="00A703E0" w:rsidRPr="00681EF8" w:rsidRDefault="00A703E0" w:rsidP="00B64A95">
      <w:pPr>
        <w:pStyle w:val="Prrafodelista"/>
        <w:numPr>
          <w:ilvl w:val="0"/>
          <w:numId w:val="1"/>
        </w:numPr>
        <w:spacing w:after="0" w:line="240" w:lineRule="auto"/>
        <w:ind w:left="360"/>
        <w:contextualSpacing w:val="0"/>
        <w:jc w:val="both"/>
        <w:rPr>
          <w:rFonts w:ascii="Verdana" w:hAnsi="Verdana"/>
        </w:rPr>
      </w:pPr>
      <w:r w:rsidRPr="00681EF8">
        <w:rPr>
          <w:rFonts w:ascii="Verdana" w:hAnsi="Verdana"/>
          <w:b/>
        </w:rPr>
        <w:t xml:space="preserve">Concepto de violación: </w:t>
      </w:r>
      <w:r w:rsidRPr="00681EF8">
        <w:rPr>
          <w:rFonts w:ascii="Verdana" w:hAnsi="Verdana"/>
        </w:rPr>
        <w:t xml:space="preserve">es el marco dentro del cual debe pronunciarse el juez en la sentencia para decidir sobre el fondo de la controversia, el cual </w:t>
      </w:r>
      <w:r w:rsidRPr="00681EF8">
        <w:rPr>
          <w:rFonts w:ascii="Verdana" w:hAnsi="Verdana"/>
        </w:rPr>
        <w:lastRenderedPageBreak/>
        <w:t>debe respetar el principio de congruencia previsto en el artículo 281 del Código General del Proceso</w:t>
      </w:r>
      <w:r w:rsidRPr="00681EF8">
        <w:rPr>
          <w:rStyle w:val="Refdenotaalpie"/>
          <w:rFonts w:ascii="Verdana" w:hAnsi="Verdana"/>
        </w:rPr>
        <w:footnoteReference w:id="3"/>
      </w:r>
      <w:r w:rsidRPr="00681EF8">
        <w:rPr>
          <w:rFonts w:ascii="Verdana" w:hAnsi="Verdana"/>
        </w:rPr>
        <w:t>.</w:t>
      </w:r>
    </w:p>
    <w:p w14:paraId="01DA3AE4" w14:textId="77777777" w:rsidR="00A703E0" w:rsidRPr="00681EF8" w:rsidRDefault="00A703E0" w:rsidP="00B64A95">
      <w:pPr>
        <w:spacing w:after="0" w:line="240" w:lineRule="auto"/>
        <w:rPr>
          <w:rFonts w:ascii="Verdana" w:hAnsi="Verdana"/>
          <w:b/>
        </w:rPr>
      </w:pPr>
    </w:p>
    <w:p w14:paraId="2C11F6D3" w14:textId="77777777" w:rsidR="00A703E0" w:rsidRPr="00681EF8" w:rsidRDefault="00A703E0" w:rsidP="00B64A95">
      <w:pPr>
        <w:pStyle w:val="Prrafodelista"/>
        <w:numPr>
          <w:ilvl w:val="0"/>
          <w:numId w:val="1"/>
        </w:numPr>
        <w:spacing w:after="0" w:line="240" w:lineRule="auto"/>
        <w:ind w:left="360"/>
        <w:contextualSpacing w:val="0"/>
        <w:jc w:val="both"/>
        <w:rPr>
          <w:rFonts w:ascii="Verdana" w:hAnsi="Verdana"/>
        </w:rPr>
      </w:pPr>
      <w:r w:rsidRPr="00681EF8">
        <w:rPr>
          <w:rFonts w:ascii="Verdana" w:hAnsi="Verdana"/>
          <w:b/>
        </w:rPr>
        <w:t xml:space="preserve">Imputación:  </w:t>
      </w:r>
      <w:r w:rsidRPr="00681EF8">
        <w:rPr>
          <w:rFonts w:ascii="Verdana" w:hAnsi="Verdana"/>
        </w:rPr>
        <w:t>es un elemento de la responsabilidad patrimonial del Estado, que consiste en la atribución fáctica y jurídica que del daño antijurídico se hace al Estado</w:t>
      </w:r>
      <w:r w:rsidRPr="00681EF8">
        <w:rPr>
          <w:rStyle w:val="Refdenotaalpie"/>
          <w:rFonts w:ascii="Verdana" w:hAnsi="Verdana"/>
        </w:rPr>
        <w:footnoteReference w:id="4"/>
      </w:r>
      <w:r w:rsidRPr="00681EF8">
        <w:rPr>
          <w:rFonts w:ascii="Verdana" w:hAnsi="Verdana"/>
        </w:rPr>
        <w:t>.</w:t>
      </w:r>
    </w:p>
    <w:p w14:paraId="4836C6C2" w14:textId="77777777" w:rsidR="00A703E0" w:rsidRPr="00681EF8" w:rsidRDefault="00A703E0" w:rsidP="00B64A95">
      <w:pPr>
        <w:pStyle w:val="Prrafodelista"/>
        <w:spacing w:after="0" w:line="240" w:lineRule="auto"/>
        <w:ind w:left="360"/>
        <w:contextualSpacing w:val="0"/>
        <w:jc w:val="both"/>
        <w:rPr>
          <w:rFonts w:ascii="Verdana" w:hAnsi="Verdana"/>
        </w:rPr>
      </w:pPr>
    </w:p>
    <w:p w14:paraId="7873E39B" w14:textId="77777777" w:rsidR="00A703E0" w:rsidRPr="00681EF8" w:rsidRDefault="00A703E0" w:rsidP="00B64A95">
      <w:pPr>
        <w:pStyle w:val="Prrafodelista"/>
        <w:numPr>
          <w:ilvl w:val="0"/>
          <w:numId w:val="1"/>
        </w:numPr>
        <w:spacing w:after="0" w:line="240" w:lineRule="auto"/>
        <w:ind w:left="360"/>
        <w:contextualSpacing w:val="0"/>
        <w:jc w:val="both"/>
        <w:rPr>
          <w:rFonts w:ascii="Verdana" w:hAnsi="Verdana"/>
        </w:rPr>
      </w:pPr>
      <w:r w:rsidRPr="00681EF8">
        <w:rPr>
          <w:rFonts w:ascii="Verdana" w:hAnsi="Verdana"/>
          <w:b/>
        </w:rPr>
        <w:t xml:space="preserve">Legitimación en la causa material por pasiva: </w:t>
      </w:r>
      <w:r w:rsidRPr="00681EF8">
        <w:rPr>
          <w:rFonts w:ascii="Verdana" w:hAnsi="Verdana"/>
        </w:rPr>
        <w:t>supone que el sujeto demandado es aquel llamado a responder por el derecho o interés objeto de controversia, a partir de la relación jurídica sustancial</w:t>
      </w:r>
      <w:r w:rsidRPr="00681EF8">
        <w:rPr>
          <w:rStyle w:val="Refdenotaalpie"/>
          <w:rFonts w:ascii="Verdana" w:hAnsi="Verdana"/>
        </w:rPr>
        <w:footnoteReference w:id="5"/>
      </w:r>
      <w:r w:rsidRPr="00681EF8">
        <w:rPr>
          <w:rFonts w:ascii="Verdana" w:hAnsi="Verdana"/>
        </w:rPr>
        <w:t>.</w:t>
      </w:r>
    </w:p>
    <w:p w14:paraId="10EF9710" w14:textId="77777777" w:rsidR="00A703E0" w:rsidRPr="00681EF8" w:rsidRDefault="00A703E0" w:rsidP="00B64A95">
      <w:pPr>
        <w:pStyle w:val="Prrafodelista"/>
        <w:spacing w:after="0" w:line="240" w:lineRule="auto"/>
        <w:ind w:left="360"/>
        <w:contextualSpacing w:val="0"/>
        <w:jc w:val="both"/>
        <w:rPr>
          <w:rFonts w:ascii="Verdana" w:hAnsi="Verdana"/>
        </w:rPr>
      </w:pPr>
    </w:p>
    <w:p w14:paraId="27719493" w14:textId="0F42DC26" w:rsidR="009F6550" w:rsidRPr="00681EF8" w:rsidRDefault="00A703E0" w:rsidP="00B64A95">
      <w:pPr>
        <w:pStyle w:val="Prrafodelista"/>
        <w:numPr>
          <w:ilvl w:val="0"/>
          <w:numId w:val="1"/>
        </w:numPr>
        <w:spacing w:after="0" w:line="240" w:lineRule="auto"/>
        <w:ind w:left="284"/>
        <w:contextualSpacing w:val="0"/>
        <w:jc w:val="both"/>
        <w:rPr>
          <w:rFonts w:ascii="Verdana" w:hAnsi="Verdana"/>
          <w:b/>
        </w:rPr>
      </w:pPr>
      <w:r w:rsidRPr="00681EF8">
        <w:rPr>
          <w:rFonts w:ascii="Verdana" w:hAnsi="Verdana"/>
          <w:b/>
        </w:rPr>
        <w:t xml:space="preserve">Acumulación procesal: </w:t>
      </w:r>
      <w:r w:rsidRPr="00681EF8">
        <w:rPr>
          <w:rFonts w:ascii="Verdana" w:hAnsi="Verdana"/>
        </w:rPr>
        <w:t>actuación procedente, a petición de parte o de oficio, siempre que los procesos tengan igual procedimiento, se encuentren en la misma instancia y se cumplan los requisitos establecidos en los artículos 148 y 88 del Código General del Proceso.</w:t>
      </w:r>
    </w:p>
    <w:p w14:paraId="4B5D9941" w14:textId="77777777" w:rsidR="009F6550" w:rsidRPr="00681EF8" w:rsidRDefault="009F6550" w:rsidP="00B64A95">
      <w:pPr>
        <w:pStyle w:val="Prrafodelista"/>
        <w:spacing w:after="0" w:line="240" w:lineRule="auto"/>
        <w:rPr>
          <w:rFonts w:ascii="Verdana" w:eastAsia="Times New Roman" w:hAnsi="Verdana" w:cs="Times New Roman"/>
          <w:b/>
          <w:lang w:eastAsia="es-CO"/>
        </w:rPr>
      </w:pPr>
    </w:p>
    <w:p w14:paraId="08BF6012" w14:textId="33DB0D59" w:rsidR="00A703E0" w:rsidRPr="00681EF8" w:rsidRDefault="007B5832" w:rsidP="00B64A95">
      <w:pPr>
        <w:pStyle w:val="Prrafodelista"/>
        <w:numPr>
          <w:ilvl w:val="0"/>
          <w:numId w:val="1"/>
        </w:numPr>
        <w:spacing w:after="0" w:line="240" w:lineRule="auto"/>
        <w:ind w:left="284"/>
        <w:contextualSpacing w:val="0"/>
        <w:jc w:val="both"/>
        <w:rPr>
          <w:rFonts w:ascii="Verdana" w:eastAsia="Times New Roman" w:hAnsi="Verdana" w:cs="Times New Roman"/>
          <w:b/>
          <w:lang w:eastAsia="es-CO"/>
        </w:rPr>
      </w:pPr>
      <w:r w:rsidRPr="00681EF8">
        <w:rPr>
          <w:rFonts w:ascii="Verdana" w:eastAsia="Times New Roman" w:hAnsi="Verdana" w:cs="Times New Roman"/>
          <w:b/>
          <w:bCs/>
          <w:lang w:eastAsia="es-CO"/>
        </w:rPr>
        <w:t>Herramienta</w:t>
      </w:r>
      <w:r w:rsidR="001C2313" w:rsidRPr="00681EF8">
        <w:rPr>
          <w:rFonts w:ascii="Verdana" w:eastAsia="Times New Roman" w:hAnsi="Verdana" w:cs="Times New Roman"/>
          <w:b/>
          <w:bCs/>
          <w:lang w:eastAsia="es-CO"/>
        </w:rPr>
        <w:t xml:space="preserve"> de </w:t>
      </w:r>
      <w:r w:rsidR="007D7D23" w:rsidRPr="00681EF8">
        <w:rPr>
          <w:rFonts w:ascii="Verdana" w:eastAsia="Times New Roman" w:hAnsi="Verdana" w:cs="Times New Roman"/>
          <w:b/>
          <w:bCs/>
          <w:lang w:eastAsia="es-CO"/>
        </w:rPr>
        <w:t>ayuda</w:t>
      </w:r>
      <w:r w:rsidR="00A325E8" w:rsidRPr="00681EF8">
        <w:rPr>
          <w:rFonts w:ascii="Verdana" w:eastAsia="Times New Roman" w:hAnsi="Verdana" w:cs="Times New Roman"/>
          <w:b/>
          <w:bCs/>
          <w:lang w:eastAsia="es-CO"/>
        </w:rPr>
        <w:t>:</w:t>
      </w:r>
      <w:r w:rsidR="00A325E8" w:rsidRPr="00681EF8">
        <w:rPr>
          <w:rFonts w:ascii="Verdana" w:eastAsia="Times New Roman" w:hAnsi="Verdana" w:cs="Times New Roman"/>
          <w:lang w:eastAsia="es-CO"/>
        </w:rPr>
        <w:t xml:space="preserve"> </w:t>
      </w:r>
      <w:r w:rsidR="002302F1" w:rsidRPr="00681EF8">
        <w:rPr>
          <w:rFonts w:ascii="Verdana" w:eastAsia="Times New Roman" w:hAnsi="Verdana" w:cs="Times New Roman"/>
          <w:lang w:eastAsia="es-CO"/>
        </w:rPr>
        <w:t>Archivo</w:t>
      </w:r>
      <w:r w:rsidR="000B61DB" w:rsidRPr="00681EF8">
        <w:rPr>
          <w:rFonts w:ascii="Verdana" w:eastAsia="Times New Roman" w:hAnsi="Verdana" w:cs="Times New Roman"/>
          <w:lang w:eastAsia="es-CO"/>
        </w:rPr>
        <w:t xml:space="preserve"> Excel</w:t>
      </w:r>
      <w:r w:rsidR="002302F1" w:rsidRPr="00681EF8">
        <w:rPr>
          <w:rFonts w:ascii="Verdana" w:eastAsia="Times New Roman" w:hAnsi="Verdana" w:cs="Times New Roman"/>
          <w:lang w:eastAsia="es-CO"/>
        </w:rPr>
        <w:t xml:space="preserve"> </w:t>
      </w:r>
      <w:r w:rsidR="000B61DB" w:rsidRPr="00681EF8">
        <w:rPr>
          <w:rFonts w:ascii="Verdana" w:eastAsia="Times New Roman" w:hAnsi="Verdana" w:cs="Times New Roman"/>
          <w:lang w:eastAsia="es-CO"/>
        </w:rPr>
        <w:t>dispuest</w:t>
      </w:r>
      <w:r w:rsidRPr="00681EF8">
        <w:rPr>
          <w:rFonts w:ascii="Verdana" w:eastAsia="Times New Roman" w:hAnsi="Verdana" w:cs="Times New Roman"/>
          <w:lang w:eastAsia="es-CO"/>
        </w:rPr>
        <w:t>o</w:t>
      </w:r>
      <w:r w:rsidR="00A325E8" w:rsidRPr="00681EF8">
        <w:rPr>
          <w:rFonts w:ascii="Verdana" w:eastAsia="Times New Roman" w:hAnsi="Verdana" w:cs="Times New Roman"/>
          <w:lang w:eastAsia="es-CO"/>
        </w:rPr>
        <w:t xml:space="preserve"> por la Agencia Nacional de Defensa Jurídica del Estado para la calificación del riesgo y el cálculo de la obligación contingente de los procesos judiciales, conciliaciones extrajudiciales y trámites arbitrales que se adelanten contra la</w:t>
      </w:r>
      <w:r w:rsidR="00DC6BD9" w:rsidRPr="00681EF8">
        <w:rPr>
          <w:rFonts w:ascii="Verdana" w:eastAsia="Times New Roman" w:hAnsi="Verdana" w:cs="Times New Roman"/>
          <w:lang w:eastAsia="es-CO"/>
        </w:rPr>
        <w:t>s</w:t>
      </w:r>
      <w:r w:rsidR="00A325E8" w:rsidRPr="00681EF8">
        <w:rPr>
          <w:rFonts w:ascii="Verdana" w:eastAsia="Times New Roman" w:hAnsi="Verdana" w:cs="Times New Roman"/>
          <w:lang w:eastAsia="es-CO"/>
        </w:rPr>
        <w:t xml:space="preserve"> entidad</w:t>
      </w:r>
      <w:r w:rsidR="00DC6BD9" w:rsidRPr="00681EF8">
        <w:rPr>
          <w:rFonts w:ascii="Verdana" w:eastAsia="Times New Roman" w:hAnsi="Verdana" w:cs="Times New Roman"/>
          <w:lang w:eastAsia="es-CO"/>
        </w:rPr>
        <w:t>es públicas</w:t>
      </w:r>
      <w:r w:rsidR="00631FF4" w:rsidRPr="00681EF8">
        <w:rPr>
          <w:rStyle w:val="Refdenotaalpie"/>
          <w:rFonts w:ascii="Verdana" w:eastAsia="Times New Roman" w:hAnsi="Verdana" w:cs="Times New Roman"/>
          <w:lang w:eastAsia="es-CO"/>
        </w:rPr>
        <w:footnoteReference w:id="6"/>
      </w:r>
      <w:r w:rsidR="008E38A8" w:rsidRPr="00681EF8">
        <w:rPr>
          <w:rFonts w:ascii="Verdana" w:eastAsia="Times New Roman" w:hAnsi="Verdana" w:cs="Times New Roman"/>
          <w:lang w:eastAsia="es-CO"/>
        </w:rPr>
        <w:t xml:space="preserve">, </w:t>
      </w:r>
    </w:p>
    <w:p w14:paraId="30D5475D" w14:textId="77777777" w:rsidR="00A703E0" w:rsidRPr="00681EF8" w:rsidRDefault="00A703E0" w:rsidP="00B64A95">
      <w:pPr>
        <w:spacing w:after="0" w:line="240" w:lineRule="auto"/>
        <w:jc w:val="both"/>
        <w:rPr>
          <w:rFonts w:ascii="Verdana" w:hAnsi="Verdana"/>
        </w:rPr>
      </w:pPr>
    </w:p>
    <w:p w14:paraId="011F96CD" w14:textId="77777777" w:rsidR="00A703E0" w:rsidRPr="00681EF8" w:rsidRDefault="00A703E0" w:rsidP="00B64A95">
      <w:pPr>
        <w:spacing w:after="0" w:line="240" w:lineRule="auto"/>
        <w:jc w:val="center"/>
        <w:rPr>
          <w:rFonts w:ascii="Verdana" w:hAnsi="Verdana"/>
          <w:b/>
        </w:rPr>
      </w:pPr>
      <w:r w:rsidRPr="00681EF8">
        <w:rPr>
          <w:rFonts w:ascii="Verdana" w:hAnsi="Verdana"/>
          <w:b/>
        </w:rPr>
        <w:t>CAPÍTULO II</w:t>
      </w:r>
    </w:p>
    <w:p w14:paraId="55808613" w14:textId="087F424A" w:rsidR="006356C6" w:rsidRPr="00681EF8" w:rsidRDefault="006356C6" w:rsidP="00B64A95">
      <w:pPr>
        <w:spacing w:after="0" w:line="240" w:lineRule="auto"/>
        <w:jc w:val="center"/>
        <w:rPr>
          <w:rFonts w:ascii="Verdana" w:hAnsi="Verdana"/>
          <w:b/>
        </w:rPr>
      </w:pPr>
      <w:r w:rsidRPr="00681EF8">
        <w:rPr>
          <w:rFonts w:ascii="Verdana" w:hAnsi="Verdana"/>
          <w:b/>
        </w:rPr>
        <w:t>CALIFICACIÓN DEL RIESGO PROCESAL Y OBLIGACIÓN CONTINGENTE DE CONCILIACIONES EXTRAJUDICIALES</w:t>
      </w:r>
    </w:p>
    <w:p w14:paraId="3EA46098" w14:textId="77777777" w:rsidR="006356C6" w:rsidRPr="00681EF8" w:rsidRDefault="006356C6" w:rsidP="00B64A95">
      <w:pPr>
        <w:spacing w:after="0" w:line="240" w:lineRule="auto"/>
        <w:rPr>
          <w:rFonts w:ascii="Verdana" w:hAnsi="Verdana"/>
          <w:b/>
        </w:rPr>
      </w:pPr>
    </w:p>
    <w:p w14:paraId="431A6AF4" w14:textId="53E18167" w:rsidR="006356C6" w:rsidRPr="00681EF8" w:rsidRDefault="006356C6" w:rsidP="00B64A95">
      <w:pPr>
        <w:spacing w:after="0" w:line="240" w:lineRule="auto"/>
        <w:jc w:val="both"/>
        <w:rPr>
          <w:rFonts w:ascii="Verdana" w:hAnsi="Verdana"/>
        </w:rPr>
      </w:pPr>
      <w:r w:rsidRPr="00681EF8">
        <w:rPr>
          <w:rFonts w:ascii="Verdana" w:hAnsi="Verdana"/>
          <w:b/>
        </w:rPr>
        <w:t xml:space="preserve">Artículo </w:t>
      </w:r>
      <w:r w:rsidR="00574F98" w:rsidRPr="00681EF8">
        <w:rPr>
          <w:rFonts w:ascii="Verdana" w:hAnsi="Verdana"/>
          <w:b/>
        </w:rPr>
        <w:t>3</w:t>
      </w:r>
      <w:r w:rsidRPr="00681EF8">
        <w:rPr>
          <w:rFonts w:ascii="Verdana" w:hAnsi="Verdana"/>
          <w:b/>
        </w:rPr>
        <w:t xml:space="preserve">º. Metodología para el cálculo de la obligación contingente de las conciliaciones extrajudiciales. </w:t>
      </w:r>
      <w:r w:rsidRPr="00681EF8">
        <w:rPr>
          <w:rFonts w:ascii="Verdana" w:hAnsi="Verdana"/>
        </w:rPr>
        <w:t>La metodología para la determinación de la obligación contingente relacionada con las conciliaciones extrajudiciales debe ser realizada una vez el/la apoderado/a que tiene a cargo el estudio de la solicitud de conciliación elabore la ficha técnica del caso y en ella recomiende</w:t>
      </w:r>
      <w:r w:rsidRPr="00681EF8">
        <w:rPr>
          <w:rFonts w:ascii="Verdana" w:eastAsia="Times New Roman" w:hAnsi="Verdana" w:cs="Times New Roman"/>
          <w:lang w:eastAsia="es-CO"/>
        </w:rPr>
        <w:t xml:space="preserve"> </w:t>
      </w:r>
      <w:r w:rsidRPr="00681EF8">
        <w:rPr>
          <w:rFonts w:ascii="Verdana" w:hAnsi="Verdana"/>
        </w:rPr>
        <w:t>al Comité</w:t>
      </w:r>
      <w:r w:rsidR="007E37D9" w:rsidRPr="00681EF8">
        <w:rPr>
          <w:rFonts w:ascii="Verdana" w:hAnsi="Verdana"/>
        </w:rPr>
        <w:t xml:space="preserve"> </w:t>
      </w:r>
      <w:r w:rsidR="00A147F1" w:rsidRPr="00681EF8">
        <w:rPr>
          <w:rFonts w:ascii="Verdana" w:hAnsi="Verdana"/>
        </w:rPr>
        <w:t xml:space="preserve">de Conciliación </w:t>
      </w:r>
      <w:r w:rsidR="007E37D9" w:rsidRPr="00681EF8">
        <w:rPr>
          <w:rFonts w:ascii="Verdana" w:hAnsi="Verdana"/>
        </w:rPr>
        <w:t xml:space="preserve">o al representante legal </w:t>
      </w:r>
      <w:r w:rsidR="001271D5" w:rsidRPr="00681EF8">
        <w:rPr>
          <w:rFonts w:ascii="Verdana" w:hAnsi="Verdana"/>
        </w:rPr>
        <w:t xml:space="preserve">en aquellas entidades en donde </w:t>
      </w:r>
      <w:r w:rsidR="00A147F1" w:rsidRPr="00681EF8">
        <w:rPr>
          <w:rFonts w:ascii="Verdana" w:hAnsi="Verdana"/>
        </w:rPr>
        <w:t xml:space="preserve">no exista la obligación de </w:t>
      </w:r>
      <w:r w:rsidR="00A147F1" w:rsidRPr="00681EF8">
        <w:rPr>
          <w:rFonts w:ascii="Verdana" w:eastAsia="Times New Roman" w:hAnsi="Verdana" w:cs="Times New Roman"/>
          <w:lang w:eastAsia="es-CO"/>
        </w:rPr>
        <w:t>constituir</w:t>
      </w:r>
      <w:r w:rsidR="00720B2C" w:rsidRPr="00681EF8">
        <w:rPr>
          <w:rFonts w:ascii="Verdana" w:eastAsia="Times New Roman" w:hAnsi="Verdana" w:cs="Times New Roman"/>
          <w:lang w:eastAsia="es-CO"/>
        </w:rPr>
        <w:t>lo</w:t>
      </w:r>
      <w:r w:rsidR="00A147F1" w:rsidRPr="00681EF8">
        <w:rPr>
          <w:rFonts w:ascii="Verdana" w:eastAsia="Times New Roman" w:hAnsi="Verdana" w:cs="Times New Roman"/>
          <w:lang w:eastAsia="es-CO"/>
        </w:rPr>
        <w:t xml:space="preserve"> y</w:t>
      </w:r>
      <w:r w:rsidR="00720B2C" w:rsidRPr="00681EF8">
        <w:rPr>
          <w:rFonts w:ascii="Verdana" w:hAnsi="Verdana"/>
        </w:rPr>
        <w:t xml:space="preserve"> </w:t>
      </w:r>
      <w:r w:rsidR="00A147F1" w:rsidRPr="00681EF8">
        <w:rPr>
          <w:rFonts w:ascii="Verdana" w:hAnsi="Verdana"/>
        </w:rPr>
        <w:t>no se haya hecho de forma facultativa, conciliar</w:t>
      </w:r>
      <w:r w:rsidRPr="00681EF8">
        <w:rPr>
          <w:rFonts w:ascii="Verdana" w:hAnsi="Verdana"/>
        </w:rPr>
        <w:t xml:space="preserve"> el caso concreto. </w:t>
      </w:r>
    </w:p>
    <w:p w14:paraId="6785F445" w14:textId="77777777" w:rsidR="006356C6" w:rsidRPr="00681EF8" w:rsidRDefault="006356C6" w:rsidP="00B64A95">
      <w:pPr>
        <w:spacing w:after="0" w:line="240" w:lineRule="auto"/>
        <w:jc w:val="both"/>
        <w:rPr>
          <w:rFonts w:ascii="Verdana" w:hAnsi="Verdana"/>
        </w:rPr>
      </w:pPr>
    </w:p>
    <w:p w14:paraId="18F8EEE9" w14:textId="0D2E237D" w:rsidR="006356C6" w:rsidRPr="00681EF8" w:rsidRDefault="006356C6" w:rsidP="00B64A95">
      <w:pPr>
        <w:spacing w:after="0" w:line="240" w:lineRule="auto"/>
        <w:jc w:val="both"/>
        <w:rPr>
          <w:rFonts w:ascii="Verdana" w:hAnsi="Verdana"/>
        </w:rPr>
      </w:pPr>
      <w:r w:rsidRPr="00681EF8">
        <w:rPr>
          <w:rFonts w:ascii="Verdana" w:hAnsi="Verdana"/>
        </w:rPr>
        <w:t>Los/las apoderado/as encargados de analizar la solicitud de conciliación son los responsables de efectuar la calificación del riesgo procesal y calcular la obligación contingente</w:t>
      </w:r>
      <w:r w:rsidR="00B0492F" w:rsidRPr="00681EF8">
        <w:rPr>
          <w:rFonts w:ascii="Verdana" w:eastAsia="Times New Roman" w:hAnsi="Verdana" w:cs="Times New Roman"/>
          <w:lang w:eastAsia="es-CO"/>
        </w:rPr>
        <w:t xml:space="preserve">, </w:t>
      </w:r>
      <w:r w:rsidR="00B0492F" w:rsidRPr="00681EF8">
        <w:rPr>
          <w:rFonts w:ascii="Verdana" w:eastAsia="Times New Roman" w:hAnsi="Verdana" w:cs="Times New Roman"/>
          <w:lang w:val="es-MX" w:eastAsia="es-CO"/>
        </w:rPr>
        <w:t xml:space="preserve">utilizando para ello la </w:t>
      </w:r>
      <w:r w:rsidR="007D7D23" w:rsidRPr="00681EF8">
        <w:rPr>
          <w:rFonts w:ascii="Verdana" w:eastAsia="Times New Roman" w:hAnsi="Verdana" w:cs="Times New Roman"/>
          <w:lang w:val="es-MX" w:eastAsia="es-CO"/>
        </w:rPr>
        <w:t>Herramienta de Ayuda</w:t>
      </w:r>
      <w:r w:rsidRPr="00681EF8">
        <w:rPr>
          <w:rFonts w:ascii="Verdana" w:hAnsi="Verdana" w:cs="Times New Roman"/>
        </w:rPr>
        <w:t>.</w:t>
      </w:r>
      <w:r w:rsidRPr="00681EF8">
        <w:rPr>
          <w:rFonts w:ascii="Verdana" w:hAnsi="Verdana"/>
        </w:rPr>
        <w:t xml:space="preserve"> El resultado del valor de la obligación contingente debe ser informado al área financiera.</w:t>
      </w:r>
    </w:p>
    <w:p w14:paraId="20F20D14" w14:textId="77777777" w:rsidR="006356C6" w:rsidRPr="00681EF8" w:rsidRDefault="006356C6" w:rsidP="00B64A95">
      <w:pPr>
        <w:spacing w:after="0" w:line="240" w:lineRule="auto"/>
        <w:jc w:val="both"/>
        <w:rPr>
          <w:rFonts w:ascii="Verdana" w:hAnsi="Verdana"/>
        </w:rPr>
      </w:pPr>
    </w:p>
    <w:p w14:paraId="00EC8718" w14:textId="3E14286F" w:rsidR="006356C6" w:rsidRPr="00681EF8" w:rsidRDefault="006356C6" w:rsidP="00B64A95">
      <w:pPr>
        <w:spacing w:after="0" w:line="240" w:lineRule="auto"/>
        <w:jc w:val="both"/>
        <w:rPr>
          <w:rFonts w:ascii="Verdana" w:hAnsi="Verdana"/>
        </w:rPr>
      </w:pPr>
      <w:r w:rsidRPr="00681EF8">
        <w:rPr>
          <w:rFonts w:ascii="Verdana" w:hAnsi="Verdana"/>
          <w:b/>
        </w:rPr>
        <w:t xml:space="preserve">Parágrafo 1: </w:t>
      </w:r>
      <w:r w:rsidRPr="00681EF8">
        <w:rPr>
          <w:rFonts w:ascii="Verdana" w:hAnsi="Verdana"/>
        </w:rPr>
        <w:t xml:space="preserve">La metodología consta de cinco pasos en los que debe actuar el/la apoderado/a del proceso. Estos pasos son: 1) determinar el valor de las pretensiones, 2) ajustar el valor de las pretensiones, 3) cuantificar la probabilidad de pérdida del eventual proceso; 4) calcular el valor de la obligación contingente; y 5) </w:t>
      </w:r>
      <w:r w:rsidR="00E27A56" w:rsidRPr="00681EF8">
        <w:rPr>
          <w:rFonts w:ascii="Verdana" w:eastAsia="Times New Roman" w:hAnsi="Verdana" w:cs="Times New Roman"/>
          <w:lang w:eastAsia="es-CO"/>
        </w:rPr>
        <w:t>informar</w:t>
      </w:r>
      <w:r w:rsidR="00E27A56" w:rsidRPr="00681EF8">
        <w:rPr>
          <w:rFonts w:ascii="Verdana" w:hAnsi="Verdana"/>
        </w:rPr>
        <w:t xml:space="preserve"> </w:t>
      </w:r>
      <w:r w:rsidRPr="00681EF8">
        <w:rPr>
          <w:rFonts w:ascii="Verdana" w:hAnsi="Verdana"/>
        </w:rPr>
        <w:t xml:space="preserve">el valor estimado de la obligación contingente. </w:t>
      </w:r>
    </w:p>
    <w:p w14:paraId="0D075A7F" w14:textId="77777777" w:rsidR="006356C6" w:rsidRPr="00681EF8" w:rsidRDefault="006356C6" w:rsidP="00B64A95">
      <w:pPr>
        <w:spacing w:after="0" w:line="240" w:lineRule="auto"/>
        <w:jc w:val="both"/>
        <w:rPr>
          <w:rFonts w:ascii="Verdana" w:hAnsi="Verdana"/>
        </w:rPr>
      </w:pPr>
    </w:p>
    <w:p w14:paraId="6E276525" w14:textId="4C55F363" w:rsidR="006356C6" w:rsidRPr="00681EF8" w:rsidRDefault="006356C6" w:rsidP="00B64A95">
      <w:pPr>
        <w:spacing w:after="0" w:line="240" w:lineRule="auto"/>
        <w:jc w:val="both"/>
        <w:rPr>
          <w:rFonts w:ascii="Verdana" w:hAnsi="Verdana"/>
        </w:rPr>
      </w:pPr>
      <w:r w:rsidRPr="00681EF8">
        <w:rPr>
          <w:rFonts w:ascii="Verdana" w:hAnsi="Verdana"/>
          <w:b/>
        </w:rPr>
        <w:t xml:space="preserve">Parágrafo 2: </w:t>
      </w:r>
      <w:r w:rsidR="00306889" w:rsidRPr="00681EF8">
        <w:rPr>
          <w:rFonts w:ascii="Verdana" w:hAnsi="Verdana"/>
        </w:rPr>
        <w:t>l</w:t>
      </w:r>
      <w:r w:rsidRPr="00681EF8">
        <w:rPr>
          <w:rFonts w:ascii="Verdana" w:hAnsi="Verdana"/>
        </w:rPr>
        <w:t xml:space="preserve">os pasos 1) determinar el valor de las pretensiones; y 2) ajustar el valor de las pretensiones deben realizarse conforme a lo mencionado en los artículos </w:t>
      </w:r>
      <w:r w:rsidR="002F44E4" w:rsidRPr="00681EF8">
        <w:rPr>
          <w:rFonts w:ascii="Verdana" w:hAnsi="Verdana"/>
        </w:rPr>
        <w:t>8</w:t>
      </w:r>
      <w:r w:rsidRPr="00681EF8">
        <w:rPr>
          <w:rFonts w:ascii="Verdana" w:hAnsi="Verdana"/>
        </w:rPr>
        <w:t xml:space="preserve">º y </w:t>
      </w:r>
      <w:r w:rsidR="002F44E4" w:rsidRPr="00681EF8">
        <w:rPr>
          <w:rFonts w:ascii="Verdana" w:hAnsi="Verdana"/>
        </w:rPr>
        <w:t>9</w:t>
      </w:r>
      <w:r w:rsidRPr="00681EF8">
        <w:rPr>
          <w:rFonts w:ascii="Verdana" w:hAnsi="Verdana"/>
        </w:rPr>
        <w:t>º de la presente Resolución.</w:t>
      </w:r>
    </w:p>
    <w:p w14:paraId="78602BD2" w14:textId="77777777" w:rsidR="006356C6" w:rsidRPr="00681EF8" w:rsidRDefault="006356C6" w:rsidP="00B64A95">
      <w:pPr>
        <w:spacing w:after="0" w:line="240" w:lineRule="auto"/>
        <w:jc w:val="both"/>
        <w:rPr>
          <w:rFonts w:ascii="Verdana" w:hAnsi="Verdana"/>
        </w:rPr>
      </w:pPr>
    </w:p>
    <w:p w14:paraId="1C7E04C3" w14:textId="41422C91" w:rsidR="006356C6" w:rsidRPr="00681EF8" w:rsidRDefault="006356C6" w:rsidP="00B64A95">
      <w:pPr>
        <w:spacing w:after="0" w:line="240" w:lineRule="auto"/>
        <w:jc w:val="both"/>
        <w:rPr>
          <w:rFonts w:ascii="Verdana" w:hAnsi="Verdana"/>
        </w:rPr>
      </w:pPr>
      <w:r w:rsidRPr="00681EF8">
        <w:rPr>
          <w:rFonts w:ascii="Verdana" w:hAnsi="Verdana"/>
          <w:b/>
        </w:rPr>
        <w:t xml:space="preserve">Artículo </w:t>
      </w:r>
      <w:r w:rsidR="00574F98" w:rsidRPr="00681EF8">
        <w:rPr>
          <w:rFonts w:ascii="Verdana" w:hAnsi="Verdana"/>
          <w:b/>
        </w:rPr>
        <w:t>4</w:t>
      </w:r>
      <w:r w:rsidRPr="00681EF8">
        <w:rPr>
          <w:rFonts w:ascii="Verdana" w:hAnsi="Verdana"/>
          <w:b/>
        </w:rPr>
        <w:t xml:space="preserve">º. Cálculo de la probabilidad de pérdida del eventual proceso. </w:t>
      </w:r>
      <w:r w:rsidRPr="00681EF8">
        <w:rPr>
          <w:rFonts w:ascii="Verdana" w:hAnsi="Verdana"/>
        </w:rPr>
        <w:t xml:space="preserve">Para cada proceso el/la apoderado/a debe calificar el riesgo de pérdida del </w:t>
      </w:r>
      <w:r w:rsidRPr="00681EF8">
        <w:rPr>
          <w:rFonts w:ascii="Verdana" w:hAnsi="Verdana"/>
        </w:rPr>
        <w:lastRenderedPageBreak/>
        <w:t>proceso que pueda derivarse de la solicitud de conciliación,</w:t>
      </w:r>
      <w:r w:rsidRPr="00681EF8" w:rsidDel="00D65D42">
        <w:rPr>
          <w:rFonts w:ascii="Verdana" w:hAnsi="Verdana"/>
        </w:rPr>
        <w:t xml:space="preserve"> </w:t>
      </w:r>
      <w:r w:rsidRPr="00681EF8">
        <w:rPr>
          <w:rFonts w:ascii="Verdana" w:hAnsi="Verdana"/>
        </w:rPr>
        <w:t>utilizando</w:t>
      </w:r>
      <w:r w:rsidR="00B2277E" w:rsidRPr="00681EF8">
        <w:rPr>
          <w:rFonts w:ascii="Verdana" w:hAnsi="Verdana"/>
        </w:rPr>
        <w:t xml:space="preserve"> </w:t>
      </w:r>
      <w:r w:rsidR="00B2277E" w:rsidRPr="00681EF8">
        <w:rPr>
          <w:rFonts w:ascii="Verdana" w:eastAsia="Times New Roman" w:hAnsi="Verdana" w:cs="Times New Roman"/>
          <w:lang w:eastAsia="es-CO"/>
        </w:rPr>
        <w:t xml:space="preserve">la </w:t>
      </w:r>
      <w:r w:rsidR="00E930F6" w:rsidRPr="00681EF8">
        <w:rPr>
          <w:rFonts w:ascii="Verdana" w:eastAsia="Times New Roman" w:hAnsi="Verdana" w:cs="Times New Roman"/>
          <w:lang w:eastAsia="es-CO"/>
        </w:rPr>
        <w:t>Herramienta de Ayuda</w:t>
      </w:r>
      <w:r w:rsidR="00B2277E" w:rsidRPr="00681EF8">
        <w:rPr>
          <w:rFonts w:ascii="Verdana" w:eastAsia="Times New Roman" w:hAnsi="Verdana" w:cs="Times New Roman"/>
          <w:lang w:eastAsia="es-CO"/>
        </w:rPr>
        <w:t xml:space="preserve"> </w:t>
      </w:r>
      <w:r w:rsidR="00C53DF0" w:rsidRPr="00681EF8">
        <w:rPr>
          <w:rFonts w:ascii="Verdana" w:eastAsia="Times New Roman" w:hAnsi="Verdana" w:cs="Times New Roman"/>
          <w:lang w:eastAsia="es-CO"/>
        </w:rPr>
        <w:t>dispuesta para tal fin</w:t>
      </w:r>
      <w:r w:rsidR="00EF0F1D" w:rsidRPr="00681EF8">
        <w:rPr>
          <w:rFonts w:ascii="Verdana" w:eastAsia="Times New Roman" w:hAnsi="Verdana" w:cs="Times New Roman"/>
          <w:lang w:eastAsia="es-CO"/>
        </w:rPr>
        <w:t xml:space="preserve">, a partir de </w:t>
      </w:r>
      <w:r w:rsidRPr="00681EF8">
        <w:rPr>
          <w:rFonts w:ascii="Verdana" w:eastAsia="Times New Roman" w:hAnsi="Verdana" w:cs="Times New Roman"/>
          <w:lang w:eastAsia="es-CO"/>
        </w:rPr>
        <w:t xml:space="preserve"> </w:t>
      </w:r>
      <w:r w:rsidRPr="00681EF8">
        <w:rPr>
          <w:rFonts w:ascii="Verdana" w:hAnsi="Verdana"/>
        </w:rPr>
        <w:t>los siguientes criterios y equivalencias:</w:t>
      </w:r>
    </w:p>
    <w:p w14:paraId="29896EDA" w14:textId="77777777" w:rsidR="006356C6" w:rsidRPr="00681EF8" w:rsidRDefault="006356C6" w:rsidP="00B64A95">
      <w:pPr>
        <w:spacing w:after="0" w:line="240" w:lineRule="auto"/>
        <w:jc w:val="both"/>
        <w:rPr>
          <w:rFonts w:ascii="Verdana" w:hAnsi="Verdana"/>
        </w:rPr>
      </w:pPr>
    </w:p>
    <w:p w14:paraId="186E7C03" w14:textId="7809799D" w:rsidR="006356C6" w:rsidRPr="00681EF8" w:rsidRDefault="006356C6" w:rsidP="00B64A95">
      <w:pPr>
        <w:pStyle w:val="Prrafodelista"/>
        <w:numPr>
          <w:ilvl w:val="0"/>
          <w:numId w:val="21"/>
        </w:numPr>
        <w:spacing w:after="0" w:line="240" w:lineRule="auto"/>
        <w:jc w:val="both"/>
        <w:rPr>
          <w:rFonts w:ascii="Verdana" w:hAnsi="Verdana"/>
        </w:rPr>
      </w:pPr>
      <w:r w:rsidRPr="00681EF8">
        <w:rPr>
          <w:rFonts w:ascii="Verdana" w:hAnsi="Verdana"/>
          <w:b/>
        </w:rPr>
        <w:t>Riesgo eventual de pérdida del proceso por relevancia jurídica de las razones de hecho y derecho expuestas por el convocante.</w:t>
      </w:r>
      <w:r w:rsidRPr="00681EF8">
        <w:rPr>
          <w:rFonts w:ascii="Verdana" w:hAnsi="Verdana"/>
        </w:rPr>
        <w:t xml:space="preserve"> Se relaciona con la relevancia jurídica y completitud de los hechos y normas en las que se fundamenta la solicitud de conciliación.</w:t>
      </w:r>
    </w:p>
    <w:p w14:paraId="56B0A27E" w14:textId="77777777" w:rsidR="006E494E" w:rsidRPr="00681EF8" w:rsidRDefault="006E494E" w:rsidP="00B64A95">
      <w:pPr>
        <w:pStyle w:val="Prrafodelista"/>
        <w:spacing w:after="0" w:line="240" w:lineRule="auto"/>
        <w:jc w:val="both"/>
        <w:rPr>
          <w:rFonts w:ascii="Verdana" w:hAnsi="Verdana"/>
        </w:rPr>
      </w:pPr>
    </w:p>
    <w:p w14:paraId="61983842" w14:textId="77777777" w:rsidR="006356C6" w:rsidRPr="00681EF8" w:rsidRDefault="006356C6" w:rsidP="00B64A95">
      <w:pPr>
        <w:spacing w:after="0" w:line="240" w:lineRule="auto"/>
        <w:ind w:left="708"/>
        <w:jc w:val="both"/>
        <w:rPr>
          <w:rFonts w:ascii="Verdana" w:hAnsi="Verdana"/>
        </w:rPr>
      </w:pPr>
      <w:r w:rsidRPr="00681EF8">
        <w:rPr>
          <w:rFonts w:ascii="Verdana" w:hAnsi="Verdana"/>
        </w:rPr>
        <w:t>Alto:</w:t>
      </w:r>
      <w:r w:rsidRPr="00681EF8">
        <w:rPr>
          <w:rFonts w:ascii="Verdana" w:hAnsi="Verdana"/>
        </w:rPr>
        <w:tab/>
        <w:t xml:space="preserve">Existe relevancia jurídica y completitud en los hechos y normas, concepto de violación y/o criterio de imputación que sustentan las pretensiones del/de la convocante. </w:t>
      </w:r>
    </w:p>
    <w:p w14:paraId="024BF2FC" w14:textId="77777777" w:rsidR="006E494E" w:rsidRPr="00681EF8" w:rsidRDefault="006E494E" w:rsidP="00B64A95">
      <w:pPr>
        <w:spacing w:after="0" w:line="240" w:lineRule="auto"/>
        <w:ind w:left="708"/>
        <w:jc w:val="both"/>
        <w:rPr>
          <w:rFonts w:ascii="Verdana" w:hAnsi="Verdana"/>
        </w:rPr>
      </w:pPr>
    </w:p>
    <w:p w14:paraId="27B32C85" w14:textId="51569982" w:rsidR="006356C6" w:rsidRPr="00681EF8" w:rsidRDefault="006356C6" w:rsidP="00B64A95">
      <w:pPr>
        <w:spacing w:after="0" w:line="240" w:lineRule="auto"/>
        <w:ind w:left="708"/>
        <w:jc w:val="both"/>
        <w:rPr>
          <w:rFonts w:ascii="Verdana" w:hAnsi="Verdana"/>
        </w:rPr>
      </w:pPr>
      <w:r w:rsidRPr="00681EF8">
        <w:rPr>
          <w:rFonts w:ascii="Verdana" w:hAnsi="Verdana"/>
        </w:rPr>
        <w:t>Medio alto: Existen normas, concepto de violación y/o criterio de imputación, pero no existen hechos ciertos y completos que sustenten las pretensiones del/de la convocante.</w:t>
      </w:r>
    </w:p>
    <w:p w14:paraId="69A81A36" w14:textId="77777777" w:rsidR="006E494E" w:rsidRPr="00681EF8" w:rsidRDefault="006E494E" w:rsidP="00B64A95">
      <w:pPr>
        <w:spacing w:after="0" w:line="240" w:lineRule="auto"/>
        <w:ind w:left="708"/>
        <w:jc w:val="both"/>
        <w:rPr>
          <w:rFonts w:ascii="Verdana" w:hAnsi="Verdana"/>
        </w:rPr>
      </w:pPr>
    </w:p>
    <w:p w14:paraId="1FBFBD6A" w14:textId="36B57075" w:rsidR="006356C6" w:rsidRPr="00681EF8" w:rsidRDefault="006356C6" w:rsidP="00B64A95">
      <w:pPr>
        <w:spacing w:after="0" w:line="240" w:lineRule="auto"/>
        <w:ind w:left="708"/>
        <w:jc w:val="both"/>
        <w:rPr>
          <w:rFonts w:ascii="Verdana" w:hAnsi="Verdana"/>
        </w:rPr>
      </w:pPr>
      <w:r w:rsidRPr="00681EF8">
        <w:rPr>
          <w:rFonts w:ascii="Verdana" w:hAnsi="Verdana"/>
        </w:rPr>
        <w:t xml:space="preserve">Medio bajo: Existen hechos ciertos y completos, pero no existen normas, concepto de violación y/o criterio de imputación que sustenten las pretensiones del/de la convocante. </w:t>
      </w:r>
    </w:p>
    <w:p w14:paraId="0651D2CA" w14:textId="77777777" w:rsidR="006E494E" w:rsidRPr="00681EF8" w:rsidRDefault="006E494E" w:rsidP="00B64A95">
      <w:pPr>
        <w:spacing w:after="0" w:line="240" w:lineRule="auto"/>
        <w:ind w:left="708"/>
        <w:jc w:val="both"/>
        <w:rPr>
          <w:rFonts w:ascii="Verdana" w:hAnsi="Verdana"/>
        </w:rPr>
      </w:pPr>
    </w:p>
    <w:p w14:paraId="19D24FD8" w14:textId="71027510" w:rsidR="006356C6" w:rsidRPr="00681EF8" w:rsidRDefault="006356C6" w:rsidP="00B64A95">
      <w:pPr>
        <w:spacing w:after="0" w:line="240" w:lineRule="auto"/>
        <w:ind w:left="708"/>
        <w:jc w:val="both"/>
        <w:rPr>
          <w:rFonts w:ascii="Verdana" w:hAnsi="Verdana"/>
        </w:rPr>
      </w:pPr>
      <w:r w:rsidRPr="00681EF8">
        <w:rPr>
          <w:rFonts w:ascii="Verdana" w:hAnsi="Verdana"/>
        </w:rPr>
        <w:t>Bajo: No existen hechos ni normas, ni concepto violación y/o criterio de imputación que sustenten las pretensiones del/de la convocante.</w:t>
      </w:r>
    </w:p>
    <w:p w14:paraId="20047004" w14:textId="77777777" w:rsidR="00C22868" w:rsidRPr="00681EF8" w:rsidRDefault="00C22868" w:rsidP="00B64A95">
      <w:pPr>
        <w:spacing w:after="0" w:line="240" w:lineRule="auto"/>
        <w:ind w:left="708"/>
        <w:jc w:val="both"/>
        <w:rPr>
          <w:rFonts w:ascii="Verdana" w:hAnsi="Verdana"/>
        </w:rPr>
      </w:pPr>
    </w:p>
    <w:p w14:paraId="344DDE1F" w14:textId="1E8B73B3" w:rsidR="006356C6" w:rsidRPr="00681EF8" w:rsidRDefault="006356C6" w:rsidP="00B64A95">
      <w:pPr>
        <w:pStyle w:val="Prrafodelista"/>
        <w:numPr>
          <w:ilvl w:val="0"/>
          <w:numId w:val="21"/>
        </w:numPr>
        <w:spacing w:after="0" w:line="240" w:lineRule="auto"/>
        <w:jc w:val="both"/>
        <w:rPr>
          <w:rFonts w:ascii="Verdana" w:hAnsi="Verdana"/>
        </w:rPr>
      </w:pPr>
      <w:r w:rsidRPr="00681EF8">
        <w:rPr>
          <w:rFonts w:ascii="Verdana" w:hAnsi="Verdana"/>
          <w:b/>
        </w:rPr>
        <w:t>Riesgo eventual de pérdida de un proceso asociado a la contundencia, conducencia y utilidad de los medios probatorios que soportan la solicitud de conciliación.</w:t>
      </w:r>
      <w:r w:rsidRPr="00681EF8">
        <w:rPr>
          <w:rFonts w:ascii="Verdana" w:hAnsi="Verdana"/>
        </w:rPr>
        <w:t xml:space="preserve"> Se relaciona</w:t>
      </w:r>
      <w:r w:rsidRPr="00681EF8">
        <w:rPr>
          <w:rFonts w:ascii="Verdana" w:hAnsi="Verdana"/>
          <w:b/>
        </w:rPr>
        <w:t xml:space="preserve"> </w:t>
      </w:r>
      <w:r w:rsidRPr="00681EF8">
        <w:rPr>
          <w:rFonts w:ascii="Verdana" w:hAnsi="Verdana"/>
        </w:rPr>
        <w:t>con los medios probatorios que acompañan la solicitud de conciliación.</w:t>
      </w:r>
    </w:p>
    <w:p w14:paraId="656C1467" w14:textId="77777777" w:rsidR="006E494E" w:rsidRPr="00681EF8" w:rsidRDefault="006E494E" w:rsidP="00B64A95">
      <w:pPr>
        <w:spacing w:after="0" w:line="240" w:lineRule="auto"/>
        <w:ind w:left="708"/>
        <w:jc w:val="both"/>
        <w:rPr>
          <w:rFonts w:ascii="Verdana" w:eastAsia="Times New Roman" w:hAnsi="Verdana" w:cs="Times New Roman"/>
          <w:lang w:eastAsia="es-CO"/>
        </w:rPr>
      </w:pPr>
    </w:p>
    <w:p w14:paraId="2A4F1E22" w14:textId="0C10391F" w:rsidR="006356C6" w:rsidRPr="00681EF8" w:rsidRDefault="006356C6" w:rsidP="00B64A95">
      <w:pPr>
        <w:spacing w:after="0" w:line="240" w:lineRule="auto"/>
        <w:ind w:left="708"/>
        <w:jc w:val="both"/>
        <w:rPr>
          <w:rFonts w:ascii="Verdana" w:hAnsi="Verdana"/>
        </w:rPr>
      </w:pPr>
      <w:r w:rsidRPr="00681EF8">
        <w:rPr>
          <w:rFonts w:ascii="Verdana" w:hAnsi="Verdana"/>
        </w:rPr>
        <w:t>Alto: El material probatorio aportado en la solicitud de conciliación es pertinente, conducente y útil para demostrar los hechos y pretensiones de la solicitud de conciliación.</w:t>
      </w:r>
    </w:p>
    <w:p w14:paraId="3843D425" w14:textId="77777777" w:rsidR="006356C6" w:rsidRPr="00681EF8" w:rsidRDefault="006356C6" w:rsidP="00B64A95">
      <w:pPr>
        <w:spacing w:after="0" w:line="240" w:lineRule="auto"/>
        <w:ind w:left="708"/>
        <w:jc w:val="both"/>
        <w:rPr>
          <w:rFonts w:ascii="Verdana" w:hAnsi="Verdana"/>
        </w:rPr>
      </w:pPr>
    </w:p>
    <w:p w14:paraId="1D2E6875" w14:textId="77777777" w:rsidR="006356C6" w:rsidRPr="00681EF8" w:rsidRDefault="006356C6" w:rsidP="00B64A95">
      <w:pPr>
        <w:spacing w:after="0" w:line="240" w:lineRule="auto"/>
        <w:ind w:left="708"/>
        <w:jc w:val="both"/>
        <w:rPr>
          <w:rFonts w:ascii="Verdana" w:hAnsi="Verdana"/>
        </w:rPr>
      </w:pPr>
      <w:r w:rsidRPr="00681EF8">
        <w:rPr>
          <w:rFonts w:ascii="Verdana" w:hAnsi="Verdana"/>
        </w:rPr>
        <w:t>Medio alto: El material probatorio aportado por el/la convocante es pertinente, conducente y útil para demostrar los hechos y pretensiones de la solicitud de conciliación. En el caso de un eventual proceso el material probatorio aportado no es suficiente para el que juez profiera sentencia anticipada.</w:t>
      </w:r>
    </w:p>
    <w:p w14:paraId="186A2241" w14:textId="77777777" w:rsidR="006356C6" w:rsidRPr="00681EF8" w:rsidRDefault="006356C6" w:rsidP="00B64A95">
      <w:pPr>
        <w:spacing w:after="0" w:line="240" w:lineRule="auto"/>
        <w:ind w:left="708"/>
        <w:jc w:val="both"/>
        <w:rPr>
          <w:rFonts w:ascii="Verdana" w:hAnsi="Verdana"/>
        </w:rPr>
      </w:pPr>
    </w:p>
    <w:p w14:paraId="3AB0D19C" w14:textId="77777777" w:rsidR="006356C6" w:rsidRPr="00681EF8" w:rsidRDefault="006356C6" w:rsidP="00B64A95">
      <w:pPr>
        <w:spacing w:after="0" w:line="240" w:lineRule="auto"/>
        <w:ind w:left="708"/>
        <w:jc w:val="both"/>
        <w:rPr>
          <w:rFonts w:ascii="Verdana" w:hAnsi="Verdana"/>
        </w:rPr>
      </w:pPr>
      <w:r w:rsidRPr="00681EF8">
        <w:rPr>
          <w:rFonts w:ascii="Verdana" w:hAnsi="Verdana"/>
        </w:rPr>
        <w:t xml:space="preserve">Medio Bajo: El material probatorio aportado por el/la convocante es insuficiente para demostrar los hechos y pretensiones de la solicitud de conciliación. </w:t>
      </w:r>
    </w:p>
    <w:p w14:paraId="2C6617C7" w14:textId="77777777" w:rsidR="006356C6" w:rsidRPr="00681EF8" w:rsidRDefault="006356C6" w:rsidP="00B64A95">
      <w:pPr>
        <w:spacing w:after="0" w:line="240" w:lineRule="auto"/>
        <w:ind w:left="708"/>
        <w:jc w:val="both"/>
        <w:rPr>
          <w:rFonts w:ascii="Verdana" w:hAnsi="Verdana"/>
        </w:rPr>
      </w:pPr>
    </w:p>
    <w:p w14:paraId="312F6CB1" w14:textId="6E8A5DDB" w:rsidR="006356C6" w:rsidRPr="00681EF8" w:rsidRDefault="006356C6" w:rsidP="00B64A95">
      <w:pPr>
        <w:spacing w:after="0" w:line="240" w:lineRule="auto"/>
        <w:ind w:left="708"/>
        <w:jc w:val="both"/>
        <w:rPr>
          <w:rFonts w:ascii="Verdana" w:hAnsi="Verdana"/>
        </w:rPr>
      </w:pPr>
      <w:r w:rsidRPr="00681EF8">
        <w:rPr>
          <w:rFonts w:ascii="Verdana" w:hAnsi="Verdana"/>
        </w:rPr>
        <w:t>Bajo: El material probatorio aportado por el/la convocante es inútil para demostrar los hechos y pretensiones de la solicitud de conciliación.</w:t>
      </w:r>
    </w:p>
    <w:p w14:paraId="18D9A25A" w14:textId="77777777" w:rsidR="006E494E" w:rsidRPr="00681EF8" w:rsidRDefault="006E494E" w:rsidP="00B64A95">
      <w:pPr>
        <w:spacing w:after="0" w:line="240" w:lineRule="auto"/>
        <w:ind w:left="708"/>
        <w:jc w:val="both"/>
        <w:rPr>
          <w:rFonts w:ascii="Verdana" w:hAnsi="Verdana"/>
        </w:rPr>
      </w:pPr>
    </w:p>
    <w:p w14:paraId="038F9A29" w14:textId="203A5CF4" w:rsidR="006356C6" w:rsidRPr="00681EF8" w:rsidRDefault="006356C6" w:rsidP="00B64A95">
      <w:pPr>
        <w:pStyle w:val="Prrafodelista"/>
        <w:numPr>
          <w:ilvl w:val="0"/>
          <w:numId w:val="21"/>
        </w:numPr>
        <w:spacing w:after="0" w:line="240" w:lineRule="auto"/>
        <w:jc w:val="both"/>
        <w:rPr>
          <w:rFonts w:ascii="Verdana" w:hAnsi="Verdana"/>
        </w:rPr>
      </w:pPr>
      <w:r w:rsidRPr="00681EF8">
        <w:rPr>
          <w:rFonts w:ascii="Verdana" w:hAnsi="Verdana"/>
          <w:b/>
        </w:rPr>
        <w:t xml:space="preserve">Existencia de políticas, protocolos, instructivos, decisiones institucionales o nacionales. </w:t>
      </w:r>
      <w:r w:rsidRPr="00681EF8">
        <w:rPr>
          <w:rFonts w:ascii="Verdana" w:hAnsi="Verdana"/>
        </w:rPr>
        <w:t>Se relaciona</w:t>
      </w:r>
      <w:r w:rsidRPr="00681EF8">
        <w:rPr>
          <w:rFonts w:ascii="Verdana" w:hAnsi="Verdana"/>
          <w:b/>
        </w:rPr>
        <w:t xml:space="preserve"> </w:t>
      </w:r>
      <w:r w:rsidRPr="00681EF8">
        <w:rPr>
          <w:rFonts w:ascii="Verdana" w:hAnsi="Verdana"/>
        </w:rPr>
        <w:t xml:space="preserve">con la existencia de políticas de conciliación al interior de la entidad pública. </w:t>
      </w:r>
    </w:p>
    <w:p w14:paraId="559EEB9E" w14:textId="77777777" w:rsidR="006E494E" w:rsidRPr="00681EF8" w:rsidRDefault="006E494E" w:rsidP="00B64A95">
      <w:pPr>
        <w:pStyle w:val="Prrafodelista"/>
        <w:spacing w:after="0" w:line="240" w:lineRule="auto"/>
        <w:jc w:val="both"/>
        <w:rPr>
          <w:rFonts w:ascii="Verdana" w:hAnsi="Verdana"/>
        </w:rPr>
      </w:pPr>
    </w:p>
    <w:p w14:paraId="3719DAEE" w14:textId="77777777" w:rsidR="006356C6" w:rsidRPr="00681EF8" w:rsidRDefault="006356C6" w:rsidP="00B64A95">
      <w:pPr>
        <w:spacing w:after="0" w:line="240" w:lineRule="auto"/>
        <w:ind w:left="720"/>
        <w:jc w:val="both"/>
        <w:rPr>
          <w:rFonts w:ascii="Verdana" w:hAnsi="Verdana"/>
        </w:rPr>
      </w:pPr>
      <w:r w:rsidRPr="00681EF8">
        <w:rPr>
          <w:rFonts w:ascii="Verdana" w:hAnsi="Verdana"/>
        </w:rPr>
        <w:t xml:space="preserve">Alto: Existe política nacional o institucional de conciliación a favor del/de la convocante respecto del problema jurídico planteado en la solicitud de conciliación. </w:t>
      </w:r>
    </w:p>
    <w:p w14:paraId="75F0B399" w14:textId="77777777" w:rsidR="006356C6" w:rsidRPr="00681EF8" w:rsidRDefault="006356C6" w:rsidP="00B64A95">
      <w:pPr>
        <w:spacing w:after="0" w:line="240" w:lineRule="auto"/>
        <w:ind w:left="720"/>
        <w:jc w:val="both"/>
        <w:rPr>
          <w:rFonts w:ascii="Verdana" w:hAnsi="Verdana"/>
        </w:rPr>
      </w:pPr>
    </w:p>
    <w:p w14:paraId="2E26FE4D" w14:textId="77777777" w:rsidR="006356C6" w:rsidRPr="00681EF8" w:rsidRDefault="006356C6" w:rsidP="00B64A95">
      <w:pPr>
        <w:spacing w:after="0" w:line="240" w:lineRule="auto"/>
        <w:ind w:left="720"/>
        <w:jc w:val="both"/>
        <w:rPr>
          <w:rFonts w:ascii="Verdana" w:hAnsi="Verdana"/>
        </w:rPr>
      </w:pPr>
      <w:r w:rsidRPr="00681EF8">
        <w:rPr>
          <w:rFonts w:ascii="Verdana" w:hAnsi="Verdana"/>
        </w:rPr>
        <w:t xml:space="preserve">Medio Alto: Existen decisiones del comité de conciliación a favor de conciliar por hechos y pretensiones similares a los planteados por el/la convocante en su solicitud. </w:t>
      </w:r>
    </w:p>
    <w:p w14:paraId="28F6A46B" w14:textId="77777777" w:rsidR="006356C6" w:rsidRPr="00681EF8" w:rsidRDefault="006356C6" w:rsidP="00B64A95">
      <w:pPr>
        <w:spacing w:after="0" w:line="240" w:lineRule="auto"/>
        <w:ind w:left="720"/>
        <w:jc w:val="both"/>
        <w:rPr>
          <w:rFonts w:ascii="Verdana" w:hAnsi="Verdana"/>
        </w:rPr>
      </w:pPr>
    </w:p>
    <w:p w14:paraId="190E6B8C" w14:textId="77777777" w:rsidR="006356C6" w:rsidRPr="00681EF8" w:rsidRDefault="006356C6" w:rsidP="00B64A95">
      <w:pPr>
        <w:spacing w:after="0" w:line="240" w:lineRule="auto"/>
        <w:ind w:left="720"/>
        <w:jc w:val="both"/>
        <w:rPr>
          <w:rFonts w:ascii="Verdana" w:hAnsi="Verdana"/>
        </w:rPr>
      </w:pPr>
      <w:r w:rsidRPr="00681EF8">
        <w:rPr>
          <w:rFonts w:ascii="Verdana" w:hAnsi="Verdana"/>
        </w:rPr>
        <w:t xml:space="preserve">Medio Bajo: Existen decisiones del comité de conciliación a favor de conciliar por hechos análogos a los planteados por el/la convocante en su solicitud. </w:t>
      </w:r>
    </w:p>
    <w:p w14:paraId="5940A90F" w14:textId="77777777" w:rsidR="006356C6" w:rsidRPr="00681EF8" w:rsidRDefault="006356C6" w:rsidP="00B64A95">
      <w:pPr>
        <w:spacing w:after="0" w:line="240" w:lineRule="auto"/>
        <w:ind w:left="720"/>
        <w:jc w:val="both"/>
        <w:rPr>
          <w:rFonts w:ascii="Verdana" w:hAnsi="Verdana"/>
        </w:rPr>
      </w:pPr>
    </w:p>
    <w:p w14:paraId="536D6D48" w14:textId="55C38857" w:rsidR="00C22868" w:rsidRPr="00681EF8" w:rsidRDefault="006356C6" w:rsidP="00B64A95">
      <w:pPr>
        <w:spacing w:after="0" w:line="240" w:lineRule="auto"/>
        <w:ind w:left="720"/>
        <w:jc w:val="both"/>
        <w:rPr>
          <w:rFonts w:ascii="Verdana" w:hAnsi="Verdana"/>
        </w:rPr>
      </w:pPr>
      <w:r w:rsidRPr="00681EF8">
        <w:rPr>
          <w:rFonts w:ascii="Verdana" w:hAnsi="Verdana"/>
        </w:rPr>
        <w:t>Bajo: No existe política, protocolo, instructivo o decisión a favor de conciliar por hechos y pretensiones similares y/o análogos a los planteados por el/la convocante en su solicitud</w:t>
      </w:r>
      <w:r w:rsidR="006E494E" w:rsidRPr="00681EF8">
        <w:rPr>
          <w:rFonts w:ascii="Verdana" w:hAnsi="Verdana"/>
        </w:rPr>
        <w:t>.</w:t>
      </w:r>
    </w:p>
    <w:p w14:paraId="76729715" w14:textId="77777777" w:rsidR="006E494E" w:rsidRPr="00681EF8" w:rsidRDefault="006E494E" w:rsidP="00B64A95">
      <w:pPr>
        <w:spacing w:after="0" w:line="240" w:lineRule="auto"/>
        <w:ind w:left="720"/>
        <w:jc w:val="both"/>
        <w:rPr>
          <w:rFonts w:ascii="Verdana" w:hAnsi="Verdana"/>
        </w:rPr>
      </w:pPr>
    </w:p>
    <w:p w14:paraId="711C926F" w14:textId="6BA64B99" w:rsidR="006356C6" w:rsidRPr="00681EF8" w:rsidRDefault="006356C6" w:rsidP="00B64A95">
      <w:pPr>
        <w:pStyle w:val="Prrafodelista"/>
        <w:numPr>
          <w:ilvl w:val="0"/>
          <w:numId w:val="21"/>
        </w:numPr>
        <w:spacing w:after="0" w:line="240" w:lineRule="auto"/>
        <w:jc w:val="both"/>
        <w:rPr>
          <w:rFonts w:ascii="Verdana" w:hAnsi="Verdana"/>
        </w:rPr>
      </w:pPr>
      <w:r w:rsidRPr="00681EF8">
        <w:rPr>
          <w:rFonts w:ascii="Verdana" w:hAnsi="Verdana"/>
          <w:b/>
        </w:rPr>
        <w:t xml:space="preserve">Riesgo de pérdida de un eventual proceso asociado al precedente jurisprudencial. </w:t>
      </w:r>
      <w:r w:rsidRPr="00681EF8">
        <w:rPr>
          <w:rFonts w:ascii="Verdana" w:hAnsi="Verdana"/>
        </w:rPr>
        <w:t>Muestra la incidencia del precedente jurisprudencial respecto a un eventual proceso y que afirma la posición de la parte convocante.</w:t>
      </w:r>
    </w:p>
    <w:p w14:paraId="085F3A7F" w14:textId="77777777" w:rsidR="006E494E" w:rsidRPr="00681EF8" w:rsidRDefault="006E494E" w:rsidP="00B64A95">
      <w:pPr>
        <w:pStyle w:val="Prrafodelista"/>
        <w:spacing w:after="0" w:line="240" w:lineRule="auto"/>
        <w:jc w:val="both"/>
        <w:rPr>
          <w:rFonts w:ascii="Verdana" w:hAnsi="Verdana"/>
        </w:rPr>
      </w:pPr>
    </w:p>
    <w:p w14:paraId="702AA901" w14:textId="77777777" w:rsidR="006356C6" w:rsidRPr="00681EF8" w:rsidRDefault="006356C6" w:rsidP="00B64A95">
      <w:pPr>
        <w:spacing w:after="0" w:line="240" w:lineRule="auto"/>
        <w:ind w:left="708"/>
        <w:jc w:val="both"/>
        <w:rPr>
          <w:rFonts w:ascii="Verdana" w:hAnsi="Verdana"/>
        </w:rPr>
      </w:pPr>
      <w:r w:rsidRPr="00681EF8">
        <w:rPr>
          <w:rFonts w:ascii="Verdana" w:hAnsi="Verdana"/>
        </w:rPr>
        <w:t>Alto: Existe suficiente y/o reiterado material jurisprudencial que soporta fallos desfavorables para los intereses del Estado; principalmente sentencias de unificación y/o constitucionalidad.</w:t>
      </w:r>
    </w:p>
    <w:p w14:paraId="2FA26ECB" w14:textId="77777777" w:rsidR="006356C6" w:rsidRPr="00681EF8" w:rsidRDefault="006356C6" w:rsidP="00B64A95">
      <w:pPr>
        <w:spacing w:after="0" w:line="240" w:lineRule="auto"/>
        <w:ind w:left="708"/>
        <w:jc w:val="both"/>
        <w:rPr>
          <w:rFonts w:ascii="Verdana" w:hAnsi="Verdana"/>
        </w:rPr>
      </w:pPr>
    </w:p>
    <w:p w14:paraId="05813D16" w14:textId="77777777" w:rsidR="006356C6" w:rsidRPr="00681EF8" w:rsidRDefault="006356C6" w:rsidP="00B64A95">
      <w:pPr>
        <w:spacing w:after="0" w:line="240" w:lineRule="auto"/>
        <w:ind w:left="708"/>
        <w:jc w:val="both"/>
        <w:rPr>
          <w:rFonts w:ascii="Verdana" w:hAnsi="Verdana"/>
        </w:rPr>
      </w:pPr>
      <w:r w:rsidRPr="00681EF8">
        <w:rPr>
          <w:rFonts w:ascii="Verdana" w:hAnsi="Verdana"/>
        </w:rPr>
        <w:t>Medio Alto: Respecto de la causa o subcausa de la controversia, se tiene conocimiento de que se han presentado al menos tres fallos de casos similares en un mismo sentido que podrían definir líneas y tendencias jurisprudenciales desfavorables para los intereses del Estado.</w:t>
      </w:r>
    </w:p>
    <w:p w14:paraId="4A113894" w14:textId="77777777" w:rsidR="006356C6" w:rsidRPr="00681EF8" w:rsidRDefault="006356C6" w:rsidP="00B64A95">
      <w:pPr>
        <w:spacing w:after="0" w:line="240" w:lineRule="auto"/>
        <w:ind w:left="708"/>
        <w:jc w:val="both"/>
        <w:rPr>
          <w:rFonts w:ascii="Verdana" w:hAnsi="Verdana"/>
        </w:rPr>
      </w:pPr>
    </w:p>
    <w:p w14:paraId="11B45977" w14:textId="77777777" w:rsidR="006356C6" w:rsidRPr="00681EF8" w:rsidRDefault="006356C6" w:rsidP="00B64A95">
      <w:pPr>
        <w:spacing w:after="0" w:line="240" w:lineRule="auto"/>
        <w:ind w:left="708"/>
        <w:jc w:val="both"/>
        <w:rPr>
          <w:rFonts w:ascii="Verdana" w:hAnsi="Verdana"/>
        </w:rPr>
      </w:pPr>
      <w:r w:rsidRPr="00681EF8">
        <w:rPr>
          <w:rFonts w:ascii="Verdana" w:hAnsi="Verdana"/>
        </w:rPr>
        <w:t>Medio Bajo: Respecto de la causa o subcausa objeto de la controversia, se han presentado menos de tres casos similares desfavorables para los intereses del Estado.</w:t>
      </w:r>
    </w:p>
    <w:p w14:paraId="4ED8D996" w14:textId="77777777" w:rsidR="006356C6" w:rsidRPr="00681EF8" w:rsidRDefault="006356C6" w:rsidP="00B64A95">
      <w:pPr>
        <w:spacing w:after="0" w:line="240" w:lineRule="auto"/>
        <w:ind w:left="708"/>
        <w:jc w:val="both"/>
        <w:rPr>
          <w:rFonts w:ascii="Verdana" w:hAnsi="Verdana"/>
        </w:rPr>
      </w:pPr>
    </w:p>
    <w:p w14:paraId="57B24C39" w14:textId="4DA5C4C1" w:rsidR="00731313" w:rsidRPr="00681EF8" w:rsidRDefault="006356C6" w:rsidP="00B64A95">
      <w:pPr>
        <w:spacing w:after="0" w:line="240" w:lineRule="auto"/>
        <w:ind w:left="708"/>
        <w:jc w:val="both"/>
        <w:rPr>
          <w:rFonts w:ascii="Verdana" w:hAnsi="Verdana"/>
        </w:rPr>
      </w:pPr>
      <w:r w:rsidRPr="00681EF8">
        <w:rPr>
          <w:rFonts w:ascii="Verdana" w:hAnsi="Verdana"/>
        </w:rPr>
        <w:t>Bajo: No existe ningún precedente jurisprudencial respecto de la causa objeto de la controversia o el precedente existente es favorable a los intereses del Estado.</w:t>
      </w:r>
    </w:p>
    <w:p w14:paraId="1BB38101" w14:textId="6E230A49" w:rsidR="006356C6" w:rsidRPr="00681EF8" w:rsidRDefault="006356C6" w:rsidP="00B64A95">
      <w:pPr>
        <w:spacing w:after="0" w:line="240" w:lineRule="auto"/>
        <w:ind w:left="708"/>
        <w:jc w:val="both"/>
        <w:rPr>
          <w:rFonts w:ascii="Verdana" w:eastAsia="Times New Roman" w:hAnsi="Verdana" w:cs="Times New Roman"/>
          <w:lang w:eastAsia="es-CO"/>
        </w:rPr>
      </w:pPr>
    </w:p>
    <w:p w14:paraId="5068BD22" w14:textId="6B7A0005" w:rsidR="006356C6" w:rsidRPr="00681EF8" w:rsidRDefault="006356C6" w:rsidP="00B64A95">
      <w:pPr>
        <w:spacing w:after="0" w:line="240" w:lineRule="auto"/>
        <w:jc w:val="both"/>
        <w:rPr>
          <w:rFonts w:ascii="Verdana" w:hAnsi="Verdana"/>
        </w:rPr>
      </w:pPr>
      <w:bookmarkStart w:id="1" w:name="_Hlk121294027"/>
      <w:r w:rsidRPr="00681EF8">
        <w:rPr>
          <w:rFonts w:ascii="Verdana" w:hAnsi="Verdana"/>
          <w:b/>
        </w:rPr>
        <w:t>Parágrafo:</w:t>
      </w:r>
      <w:r w:rsidRPr="00681EF8">
        <w:rPr>
          <w:rFonts w:ascii="Verdana" w:hAnsi="Verdana"/>
        </w:rPr>
        <w:t xml:space="preserve"> Después de realizar la calificación de los cuatro criterios, la </w:t>
      </w:r>
      <w:r w:rsidR="00E930F6" w:rsidRPr="00681EF8">
        <w:rPr>
          <w:rFonts w:ascii="Verdana" w:hAnsi="Verdana"/>
        </w:rPr>
        <w:t>Herramienta de Ayuda</w:t>
      </w:r>
      <w:r w:rsidRPr="00681EF8">
        <w:rPr>
          <w:rStyle w:val="Refdenotaalpie"/>
          <w:rFonts w:ascii="Verdana" w:hAnsi="Verdana"/>
        </w:rPr>
        <w:footnoteReference w:id="7"/>
      </w:r>
      <w:r w:rsidRPr="00681EF8">
        <w:rPr>
          <w:rFonts w:ascii="Verdana" w:hAnsi="Verdana"/>
        </w:rPr>
        <w:t xml:space="preserve"> arrojará un porcentaje con la probabilidad de pérdida del eventual proceso.</w:t>
      </w:r>
    </w:p>
    <w:bookmarkEnd w:id="1"/>
    <w:p w14:paraId="5D2C9CEA" w14:textId="77777777" w:rsidR="006356C6" w:rsidRPr="00681EF8" w:rsidRDefault="006356C6" w:rsidP="00B64A95">
      <w:pPr>
        <w:spacing w:after="0" w:line="240" w:lineRule="auto"/>
        <w:jc w:val="both"/>
        <w:rPr>
          <w:rFonts w:ascii="Verdana" w:hAnsi="Verdana"/>
        </w:rPr>
      </w:pPr>
    </w:p>
    <w:p w14:paraId="138C9580" w14:textId="124DB1D8" w:rsidR="006356C6" w:rsidRPr="00681EF8" w:rsidRDefault="006356C6" w:rsidP="00B64A95">
      <w:pPr>
        <w:spacing w:after="0" w:line="240" w:lineRule="auto"/>
        <w:jc w:val="both"/>
        <w:rPr>
          <w:rFonts w:ascii="Verdana" w:hAnsi="Verdana"/>
        </w:rPr>
      </w:pPr>
      <w:r w:rsidRPr="00681EF8">
        <w:rPr>
          <w:rFonts w:ascii="Verdana" w:hAnsi="Verdana"/>
          <w:b/>
        </w:rPr>
        <w:t xml:space="preserve">Artículo </w:t>
      </w:r>
      <w:r w:rsidR="00574F98" w:rsidRPr="00681EF8">
        <w:rPr>
          <w:rFonts w:ascii="Verdana" w:hAnsi="Verdana"/>
          <w:b/>
        </w:rPr>
        <w:t>5</w:t>
      </w:r>
      <w:r w:rsidRPr="00681EF8">
        <w:rPr>
          <w:rFonts w:ascii="Verdana" w:hAnsi="Verdana"/>
          <w:b/>
        </w:rPr>
        <w:t xml:space="preserve">º. Cálculo del valor futuro y presente de la pretensión. </w:t>
      </w:r>
      <w:r w:rsidR="00E54557" w:rsidRPr="00681EF8">
        <w:rPr>
          <w:rFonts w:ascii="Verdana" w:hAnsi="Verdana"/>
        </w:rPr>
        <w:t>Para calcular el valor futuro y presente del valor total de las pretensiones, el/la apoderado/a a cargo del estudio de la solicitud de conciliación debe tener en cuenta lo indicado en el artículo 11º de la presente Resolución.</w:t>
      </w:r>
    </w:p>
    <w:p w14:paraId="135016D6" w14:textId="77777777" w:rsidR="006356C6" w:rsidRPr="00681EF8" w:rsidRDefault="006356C6" w:rsidP="00B64A95">
      <w:pPr>
        <w:spacing w:after="0" w:line="240" w:lineRule="auto"/>
        <w:jc w:val="both"/>
        <w:rPr>
          <w:rFonts w:ascii="Verdana" w:hAnsi="Verdana"/>
          <w:b/>
        </w:rPr>
      </w:pPr>
    </w:p>
    <w:p w14:paraId="0288C03A" w14:textId="629A63F7" w:rsidR="006356C6" w:rsidRPr="00681EF8" w:rsidRDefault="006356C6" w:rsidP="00B64A95">
      <w:pPr>
        <w:spacing w:after="0" w:line="240" w:lineRule="auto"/>
        <w:jc w:val="both"/>
        <w:rPr>
          <w:rFonts w:ascii="Verdana" w:hAnsi="Verdana"/>
        </w:rPr>
      </w:pPr>
      <w:bookmarkStart w:id="2" w:name="_Hlk124337457"/>
      <w:r w:rsidRPr="00681EF8">
        <w:rPr>
          <w:rFonts w:ascii="Verdana" w:hAnsi="Verdana"/>
          <w:b/>
        </w:rPr>
        <w:t xml:space="preserve">Artículo </w:t>
      </w:r>
      <w:r w:rsidR="00574F98" w:rsidRPr="00681EF8">
        <w:rPr>
          <w:rFonts w:ascii="Verdana" w:hAnsi="Verdana"/>
          <w:b/>
        </w:rPr>
        <w:t>6</w:t>
      </w:r>
      <w:r w:rsidRPr="00681EF8">
        <w:rPr>
          <w:rFonts w:ascii="Verdana" w:hAnsi="Verdana"/>
          <w:b/>
        </w:rPr>
        <w:t>º. Registro del valor estimado de la obligación contingente de la solicitud de conciliación</w:t>
      </w:r>
      <w:bookmarkEnd w:id="2"/>
      <w:r w:rsidRPr="00681EF8">
        <w:rPr>
          <w:rFonts w:ascii="Verdana" w:hAnsi="Verdana"/>
          <w:b/>
        </w:rPr>
        <w:t xml:space="preserve">. </w:t>
      </w:r>
      <w:r w:rsidRPr="00681EF8">
        <w:rPr>
          <w:rFonts w:ascii="Verdana" w:hAnsi="Verdana"/>
        </w:rPr>
        <w:t xml:space="preserve">Después de realizar el diligenciamiento de la ficha, el/la apoderado/a debe </w:t>
      </w:r>
      <w:r w:rsidR="00056D81" w:rsidRPr="00681EF8">
        <w:rPr>
          <w:rFonts w:ascii="Verdana" w:hAnsi="Verdana"/>
        </w:rPr>
        <w:t>comunicar al área financiera el valor estimado de la obligación contingente para que este sea registrado conforme a la regulación contable pública expedida por la Contaduría General de la Nación</w:t>
      </w:r>
      <w:r w:rsidRPr="00681EF8">
        <w:rPr>
          <w:rFonts w:ascii="Verdana" w:hAnsi="Verdana"/>
        </w:rPr>
        <w:t xml:space="preserve">, teniendo en cuenta la probabilidad de pérdida del eventual proceso (conforme a lo indicado en el parágrafo del artículo </w:t>
      </w:r>
      <w:r w:rsidR="00884007" w:rsidRPr="00681EF8">
        <w:rPr>
          <w:rFonts w:ascii="Verdana" w:hAnsi="Verdana"/>
        </w:rPr>
        <w:t>4</w:t>
      </w:r>
      <w:r w:rsidRPr="00681EF8">
        <w:rPr>
          <w:rFonts w:ascii="Verdana" w:hAnsi="Verdana"/>
        </w:rPr>
        <w:t>º), como se indica a continuación:</w:t>
      </w:r>
    </w:p>
    <w:p w14:paraId="53431230" w14:textId="39C4FE89" w:rsidR="006356C6" w:rsidRPr="00681EF8" w:rsidRDefault="006356C6" w:rsidP="00B64A95">
      <w:pPr>
        <w:spacing w:after="0" w:line="240" w:lineRule="auto"/>
        <w:jc w:val="both"/>
        <w:rPr>
          <w:rFonts w:ascii="Verdana" w:hAnsi="Verdana"/>
        </w:rPr>
      </w:pPr>
    </w:p>
    <w:p w14:paraId="4F1DA038" w14:textId="1D3D6B81" w:rsidR="006356C6" w:rsidRPr="00681EF8" w:rsidRDefault="006356C6" w:rsidP="00B64A95">
      <w:pPr>
        <w:pStyle w:val="Prrafodelista"/>
        <w:numPr>
          <w:ilvl w:val="0"/>
          <w:numId w:val="20"/>
        </w:numPr>
        <w:spacing w:after="0" w:line="240" w:lineRule="auto"/>
        <w:jc w:val="both"/>
        <w:rPr>
          <w:rFonts w:ascii="Verdana" w:hAnsi="Verdana"/>
        </w:rPr>
      </w:pPr>
      <w:r w:rsidRPr="00681EF8">
        <w:rPr>
          <w:rFonts w:ascii="Verdana" w:hAnsi="Verdana"/>
        </w:rPr>
        <w:t>Si la probabilidad de pérdida se califica como ALTA (más del 50%), el/la apoderado/a comunicará al área financiera el valor presente obtenido en el artículo 12° para que este sea registrado como provisión contable, conforme a la regulación contable pública expedida por la Contaduría General de la Nación. Adicionalmente, comunicará al área financiera la tasa de los TES aplicada en la medición de la provisión contable para que se tenga en cuenta en la actualización financiera de la provisión.</w:t>
      </w:r>
    </w:p>
    <w:p w14:paraId="3E985A96" w14:textId="77777777" w:rsidR="006356C6" w:rsidRPr="00681EF8" w:rsidRDefault="006356C6" w:rsidP="00B64A95">
      <w:pPr>
        <w:pStyle w:val="Prrafodelista"/>
        <w:spacing w:after="0" w:line="240" w:lineRule="auto"/>
        <w:ind w:left="360"/>
        <w:jc w:val="both"/>
        <w:rPr>
          <w:rFonts w:ascii="Verdana" w:hAnsi="Verdana"/>
        </w:rPr>
      </w:pPr>
    </w:p>
    <w:p w14:paraId="75D808F3" w14:textId="23D90E10" w:rsidR="006356C6" w:rsidRPr="00681EF8" w:rsidRDefault="006356C6" w:rsidP="00B64A95">
      <w:pPr>
        <w:pStyle w:val="Prrafodelista"/>
        <w:numPr>
          <w:ilvl w:val="0"/>
          <w:numId w:val="20"/>
        </w:numPr>
        <w:spacing w:after="0" w:line="240" w:lineRule="auto"/>
        <w:jc w:val="both"/>
        <w:rPr>
          <w:rFonts w:ascii="Verdana" w:hAnsi="Verdana"/>
        </w:rPr>
      </w:pPr>
      <w:r w:rsidRPr="00681EF8">
        <w:rPr>
          <w:rFonts w:ascii="Verdana" w:hAnsi="Verdana"/>
        </w:rPr>
        <w:t>Si la probabilidad de pérdida se califica como MEDIA (superior al 25% e inferior o igual al 50%), el/la apoderado/a comunicará al área financiera el valor de las pretensiones ajustado para que sea registrado como pasivo contingente en las cuentas de orden, conforme a la regulación contable pública expedida por la Contaduría General de la Nación.</w:t>
      </w:r>
    </w:p>
    <w:p w14:paraId="7BDC5805" w14:textId="77777777" w:rsidR="006356C6" w:rsidRPr="00681EF8" w:rsidRDefault="006356C6" w:rsidP="00B64A95">
      <w:pPr>
        <w:pStyle w:val="Prrafodelista"/>
        <w:spacing w:after="0" w:line="240" w:lineRule="auto"/>
        <w:rPr>
          <w:rFonts w:ascii="Verdana" w:hAnsi="Verdana"/>
        </w:rPr>
      </w:pPr>
    </w:p>
    <w:p w14:paraId="4F29C0DC" w14:textId="0B246153" w:rsidR="006356C6" w:rsidRPr="00681EF8" w:rsidRDefault="006356C6" w:rsidP="00B64A95">
      <w:pPr>
        <w:pStyle w:val="Prrafodelista"/>
        <w:numPr>
          <w:ilvl w:val="0"/>
          <w:numId w:val="20"/>
        </w:numPr>
        <w:spacing w:after="0" w:line="240" w:lineRule="auto"/>
        <w:jc w:val="both"/>
        <w:rPr>
          <w:rFonts w:ascii="Verdana" w:hAnsi="Verdana"/>
        </w:rPr>
      </w:pPr>
      <w:bookmarkStart w:id="3" w:name="_Hlk166750802"/>
      <w:r w:rsidRPr="00681EF8">
        <w:rPr>
          <w:rFonts w:ascii="Verdana" w:hAnsi="Verdana"/>
        </w:rPr>
        <w:lastRenderedPageBreak/>
        <w:t>Si la probabilidad de pérdida se califica como BAJA (superior al 10% y menor o igual al 25%), el/la apoderado/a comunicará al área financiera el valor de las pretensiones ajustado para que sea registrado como pasivo contingente en las cuentas de orden, conforme a la regulación contable pública expedida por la Contaduría General de la Nación.</w:t>
      </w:r>
    </w:p>
    <w:bookmarkEnd w:id="3"/>
    <w:p w14:paraId="0FD89A4E" w14:textId="77777777" w:rsidR="006356C6" w:rsidRPr="00681EF8" w:rsidRDefault="006356C6" w:rsidP="00B64A95">
      <w:pPr>
        <w:pStyle w:val="Prrafodelista"/>
        <w:spacing w:after="0" w:line="240" w:lineRule="auto"/>
        <w:rPr>
          <w:rFonts w:ascii="Verdana" w:hAnsi="Verdana"/>
        </w:rPr>
      </w:pPr>
    </w:p>
    <w:p w14:paraId="03A468C6" w14:textId="768961E0" w:rsidR="006356C6" w:rsidRPr="00681EF8" w:rsidRDefault="006356C6" w:rsidP="00B64A95">
      <w:pPr>
        <w:pStyle w:val="Prrafodelista"/>
        <w:numPr>
          <w:ilvl w:val="0"/>
          <w:numId w:val="20"/>
        </w:numPr>
        <w:spacing w:after="0" w:line="240" w:lineRule="auto"/>
        <w:jc w:val="both"/>
        <w:rPr>
          <w:rFonts w:ascii="Verdana" w:hAnsi="Verdana"/>
        </w:rPr>
      </w:pPr>
      <w:r w:rsidRPr="00681EF8">
        <w:rPr>
          <w:rFonts w:ascii="Verdana" w:hAnsi="Verdana"/>
        </w:rPr>
        <w:t>Si la probabilidad de pérdida es REMOTA (menor o igual al 10%), el/la apoderado/a comunicará al área financiera la probabilidad para lo pertinente, conforme a la regulación contable pública expedida por la Contaduría General de la Nación.</w:t>
      </w:r>
    </w:p>
    <w:p w14:paraId="25C608CC" w14:textId="77777777" w:rsidR="00C22868" w:rsidRPr="00681EF8" w:rsidRDefault="00C22868" w:rsidP="00B64A95">
      <w:pPr>
        <w:spacing w:after="0" w:line="240" w:lineRule="auto"/>
        <w:jc w:val="both"/>
        <w:rPr>
          <w:rFonts w:ascii="Verdana" w:hAnsi="Verdana"/>
        </w:rPr>
      </w:pPr>
    </w:p>
    <w:p w14:paraId="16FD2387" w14:textId="26CACE83" w:rsidR="006356C6" w:rsidRPr="00681EF8" w:rsidRDefault="006356C6" w:rsidP="00B64A95">
      <w:pPr>
        <w:spacing w:after="0" w:line="240" w:lineRule="auto"/>
        <w:jc w:val="both"/>
        <w:rPr>
          <w:rFonts w:ascii="Verdana" w:hAnsi="Verdana"/>
        </w:rPr>
      </w:pPr>
      <w:r w:rsidRPr="00681EF8">
        <w:rPr>
          <w:rFonts w:ascii="Verdana" w:hAnsi="Verdana"/>
          <w:b/>
        </w:rPr>
        <w:t xml:space="preserve">Parágrafo: </w:t>
      </w:r>
      <w:bookmarkStart w:id="4" w:name="_Hlk124337469"/>
      <w:r w:rsidRPr="00681EF8">
        <w:rPr>
          <w:rFonts w:ascii="Verdana" w:hAnsi="Verdana"/>
        </w:rPr>
        <w:t>El análisis realizado por el/la apoderado/a debe ser revisado por</w:t>
      </w:r>
      <w:r w:rsidR="00040D9B" w:rsidRPr="00681EF8">
        <w:rPr>
          <w:rFonts w:ascii="Verdana" w:hAnsi="Verdana"/>
        </w:rPr>
        <w:t xml:space="preserve"> el Comité de Conciliación o el representante legal</w:t>
      </w:r>
      <w:r w:rsidR="001A1820" w:rsidRPr="00681EF8">
        <w:rPr>
          <w:rStyle w:val="Refdenotaalpie"/>
          <w:rFonts w:ascii="Verdana" w:hAnsi="Verdana"/>
        </w:rPr>
        <w:footnoteReference w:id="8"/>
      </w:r>
      <w:r w:rsidR="00040D9B" w:rsidRPr="00681EF8">
        <w:rPr>
          <w:rFonts w:ascii="Verdana" w:hAnsi="Verdana"/>
        </w:rPr>
        <w:t>,</w:t>
      </w:r>
      <w:r w:rsidRPr="00681EF8">
        <w:rPr>
          <w:rFonts w:ascii="Verdana" w:hAnsi="Verdana"/>
        </w:rPr>
        <w:t xml:space="preserve"> lo cual tendrá como resultado dos posibles escenarios:</w:t>
      </w:r>
    </w:p>
    <w:bookmarkEnd w:id="4"/>
    <w:p w14:paraId="0848ABF7" w14:textId="77777777" w:rsidR="006356C6" w:rsidRPr="00681EF8" w:rsidRDefault="006356C6" w:rsidP="00B64A95">
      <w:pPr>
        <w:spacing w:after="0" w:line="240" w:lineRule="auto"/>
        <w:jc w:val="both"/>
        <w:rPr>
          <w:rFonts w:ascii="Verdana" w:hAnsi="Verdana"/>
        </w:rPr>
      </w:pPr>
    </w:p>
    <w:p w14:paraId="66F9E5DD" w14:textId="07884213" w:rsidR="006356C6" w:rsidRPr="00681EF8" w:rsidRDefault="006356C6" w:rsidP="00B64A95">
      <w:pPr>
        <w:pStyle w:val="Prrafodelista"/>
        <w:numPr>
          <w:ilvl w:val="0"/>
          <w:numId w:val="17"/>
        </w:numPr>
        <w:spacing w:after="0" w:line="240" w:lineRule="auto"/>
        <w:ind w:left="360"/>
        <w:jc w:val="both"/>
        <w:rPr>
          <w:rFonts w:ascii="Verdana" w:hAnsi="Verdana"/>
        </w:rPr>
      </w:pPr>
      <w:r w:rsidRPr="00681EF8">
        <w:rPr>
          <w:rFonts w:ascii="Verdana" w:hAnsi="Verdana"/>
        </w:rPr>
        <w:t>El comité</w:t>
      </w:r>
      <w:r w:rsidR="006456B3" w:rsidRPr="00681EF8">
        <w:rPr>
          <w:rFonts w:ascii="Verdana" w:hAnsi="Verdana"/>
        </w:rPr>
        <w:t xml:space="preserve"> y/o representante legal</w:t>
      </w:r>
      <w:r w:rsidRPr="00681EF8">
        <w:rPr>
          <w:rFonts w:ascii="Verdana" w:hAnsi="Verdana"/>
        </w:rPr>
        <w:t xml:space="preserve"> desaprueba la solicitud de conciliación: en este caso, el/la abogado/a debe actualizar el registro de la obligación contingente e informar al área financiera, para los ajustes a que haya lugar conforme a la regulación contable pública expedida por la Contaduría General de la Nación. En consecuencia, finaliza el trámite.</w:t>
      </w:r>
    </w:p>
    <w:p w14:paraId="1BF445E6" w14:textId="77777777" w:rsidR="006356C6" w:rsidRPr="00681EF8" w:rsidRDefault="006356C6" w:rsidP="00B64A95">
      <w:pPr>
        <w:pStyle w:val="Prrafodelista"/>
        <w:spacing w:after="0" w:line="240" w:lineRule="auto"/>
        <w:ind w:left="360"/>
        <w:jc w:val="both"/>
        <w:rPr>
          <w:rFonts w:ascii="Verdana" w:hAnsi="Verdana"/>
        </w:rPr>
      </w:pPr>
    </w:p>
    <w:p w14:paraId="5471BDBB" w14:textId="4A1662AA" w:rsidR="006E494E" w:rsidRPr="00681EF8" w:rsidRDefault="006356C6" w:rsidP="00B64A95">
      <w:pPr>
        <w:pStyle w:val="Prrafodelista"/>
        <w:numPr>
          <w:ilvl w:val="0"/>
          <w:numId w:val="17"/>
        </w:numPr>
        <w:spacing w:after="0" w:line="240" w:lineRule="auto"/>
        <w:ind w:left="360"/>
        <w:jc w:val="both"/>
        <w:rPr>
          <w:rFonts w:ascii="Verdana" w:hAnsi="Verdana"/>
        </w:rPr>
      </w:pPr>
      <w:r w:rsidRPr="00681EF8">
        <w:rPr>
          <w:rFonts w:ascii="Verdana" w:hAnsi="Verdana"/>
        </w:rPr>
        <w:t xml:space="preserve">El </w:t>
      </w:r>
      <w:r w:rsidR="006456B3" w:rsidRPr="00681EF8">
        <w:rPr>
          <w:rFonts w:ascii="Verdana" w:hAnsi="Verdana"/>
        </w:rPr>
        <w:t xml:space="preserve">comité y/o representante legal </w:t>
      </w:r>
      <w:r w:rsidRPr="00681EF8">
        <w:rPr>
          <w:rFonts w:ascii="Verdana" w:hAnsi="Verdana"/>
        </w:rPr>
        <w:t xml:space="preserve">aprueba la </w:t>
      </w:r>
      <w:r w:rsidRPr="00681EF8">
        <w:rPr>
          <w:rFonts w:ascii="Verdana" w:hAnsi="Verdana"/>
          <w:lang w:val="es-MX"/>
        </w:rPr>
        <w:t>recomendación de conciliar contenida en la ficha: en este escenario el</w:t>
      </w:r>
      <w:r w:rsidRPr="00681EF8">
        <w:rPr>
          <w:rFonts w:ascii="Verdana" w:hAnsi="Verdana"/>
        </w:rPr>
        <w:t>/la</w:t>
      </w:r>
      <w:r w:rsidRPr="00681EF8">
        <w:rPr>
          <w:rFonts w:ascii="Verdana" w:hAnsi="Verdana"/>
          <w:lang w:val="es-MX"/>
        </w:rPr>
        <w:t xml:space="preserve"> apoderado/a debe actualizar el valor de la obligación contingente con el valor aprobado para conciliar por esta instancia administrativa. En caso de que el comité de conciliación </w:t>
      </w:r>
      <w:r w:rsidR="006456B3" w:rsidRPr="00681EF8">
        <w:rPr>
          <w:rFonts w:ascii="Verdana" w:hAnsi="Verdana"/>
        </w:rPr>
        <w:t xml:space="preserve">y/o representante legal </w:t>
      </w:r>
      <w:r w:rsidRPr="00681EF8">
        <w:rPr>
          <w:rFonts w:ascii="Verdana" w:hAnsi="Verdana"/>
          <w:lang w:val="es-MX"/>
        </w:rPr>
        <w:t>apruebe la solicitud de conciliación y establezca un rango de negociación, debe actualizarse el valor de la obligación contingente por el extremo superior del rango aprobado. Además, debe observar lo siguiente</w:t>
      </w:r>
      <w:r w:rsidR="006E494E" w:rsidRPr="00681EF8">
        <w:rPr>
          <w:rFonts w:ascii="Verdana" w:hAnsi="Verdana"/>
          <w:lang w:val="es-MX"/>
        </w:rPr>
        <w:t>:</w:t>
      </w:r>
    </w:p>
    <w:p w14:paraId="29C70E06" w14:textId="77777777" w:rsidR="006E494E" w:rsidRPr="00681EF8" w:rsidRDefault="006E494E" w:rsidP="00B64A95">
      <w:pPr>
        <w:pStyle w:val="Prrafodelista"/>
        <w:spacing w:after="0" w:line="240" w:lineRule="auto"/>
        <w:ind w:left="360"/>
        <w:jc w:val="both"/>
        <w:rPr>
          <w:rFonts w:ascii="Verdana" w:hAnsi="Verdana"/>
        </w:rPr>
      </w:pPr>
    </w:p>
    <w:p w14:paraId="79EB5716" w14:textId="14DFE56E" w:rsidR="006356C6" w:rsidRPr="00681EF8" w:rsidRDefault="006356C6" w:rsidP="00B64A95">
      <w:pPr>
        <w:pStyle w:val="Prrafodelista"/>
        <w:numPr>
          <w:ilvl w:val="0"/>
          <w:numId w:val="15"/>
        </w:numPr>
        <w:spacing w:after="0" w:line="240" w:lineRule="auto"/>
        <w:ind w:left="360"/>
        <w:jc w:val="both"/>
        <w:rPr>
          <w:rFonts w:ascii="Verdana" w:hAnsi="Verdana"/>
        </w:rPr>
      </w:pPr>
      <w:r w:rsidRPr="00681EF8">
        <w:rPr>
          <w:rFonts w:ascii="Verdana" w:hAnsi="Verdana"/>
        </w:rPr>
        <w:t xml:space="preserve">Si en la audiencia de conciliación se llega a un acuerdo conciliatorio, el/la </w:t>
      </w:r>
      <w:r w:rsidR="001A01DD" w:rsidRPr="00681EF8">
        <w:rPr>
          <w:rFonts w:ascii="Verdana" w:eastAsia="Times New Roman" w:hAnsi="Verdana" w:cs="Times New Roman"/>
          <w:lang w:eastAsia="es-CO"/>
        </w:rPr>
        <w:t>apoderado</w:t>
      </w:r>
      <w:r w:rsidRPr="00681EF8">
        <w:rPr>
          <w:rFonts w:ascii="Verdana" w:hAnsi="Verdana"/>
        </w:rPr>
        <w:t>/a que tiene a cargo el caso debe actualizar la obligación</w:t>
      </w:r>
      <w:r w:rsidRPr="00681EF8">
        <w:rPr>
          <w:rFonts w:ascii="Verdana" w:hAnsi="Verdana"/>
          <w:lang w:val="es-MX"/>
        </w:rPr>
        <w:t xml:space="preserve"> contingente</w:t>
      </w:r>
      <w:r w:rsidRPr="00681EF8">
        <w:rPr>
          <w:rFonts w:ascii="Verdana" w:hAnsi="Verdana"/>
        </w:rPr>
        <w:t xml:space="preserve"> de la conciliación prejudicial por el valor total del acuerdo suscrito entre las partes.</w:t>
      </w:r>
    </w:p>
    <w:p w14:paraId="5478CF84" w14:textId="77777777" w:rsidR="006356C6" w:rsidRPr="00681EF8" w:rsidRDefault="006356C6" w:rsidP="00B64A95">
      <w:pPr>
        <w:pStyle w:val="Prrafodelista"/>
        <w:spacing w:after="0" w:line="240" w:lineRule="auto"/>
        <w:ind w:left="360"/>
        <w:jc w:val="both"/>
        <w:rPr>
          <w:rFonts w:ascii="Verdana" w:hAnsi="Verdana"/>
        </w:rPr>
      </w:pPr>
    </w:p>
    <w:p w14:paraId="39BDE3C7" w14:textId="77777777" w:rsidR="006356C6" w:rsidRPr="00681EF8" w:rsidRDefault="006356C6" w:rsidP="00B64A95">
      <w:pPr>
        <w:pStyle w:val="Prrafodelista"/>
        <w:numPr>
          <w:ilvl w:val="0"/>
          <w:numId w:val="15"/>
        </w:numPr>
        <w:spacing w:after="0" w:line="240" w:lineRule="auto"/>
        <w:ind w:left="360"/>
        <w:jc w:val="both"/>
        <w:rPr>
          <w:rFonts w:ascii="Verdana" w:hAnsi="Verdana"/>
        </w:rPr>
      </w:pPr>
      <w:r w:rsidRPr="00681EF8">
        <w:rPr>
          <w:rFonts w:ascii="Verdana" w:hAnsi="Verdana"/>
        </w:rPr>
        <w:t>En caso de acuerdo parcial, el/la apoderado/a que tiene a cargo el caso debe actualizar la obligación</w:t>
      </w:r>
      <w:r w:rsidRPr="00681EF8">
        <w:rPr>
          <w:rFonts w:ascii="Verdana" w:hAnsi="Verdana"/>
          <w:lang w:val="es-MX"/>
        </w:rPr>
        <w:t xml:space="preserve"> contingente</w:t>
      </w:r>
      <w:r w:rsidRPr="00681EF8">
        <w:rPr>
          <w:rFonts w:ascii="Verdana" w:hAnsi="Verdana"/>
        </w:rPr>
        <w:t xml:space="preserve"> de la conciliación prejudicial por el valor del acuerdo parcial suscrito entre las partes.</w:t>
      </w:r>
    </w:p>
    <w:p w14:paraId="44D8278E" w14:textId="77777777" w:rsidR="006356C6" w:rsidRPr="00681EF8" w:rsidRDefault="006356C6" w:rsidP="00B64A95">
      <w:pPr>
        <w:pStyle w:val="Prrafodelista"/>
        <w:spacing w:after="0" w:line="240" w:lineRule="auto"/>
        <w:ind w:left="360"/>
        <w:rPr>
          <w:rFonts w:ascii="Verdana" w:hAnsi="Verdana"/>
        </w:rPr>
      </w:pPr>
    </w:p>
    <w:p w14:paraId="33723965" w14:textId="6C7174E4" w:rsidR="006356C6" w:rsidRPr="00681EF8" w:rsidRDefault="006356C6" w:rsidP="00B64A95">
      <w:pPr>
        <w:pStyle w:val="Prrafodelista"/>
        <w:numPr>
          <w:ilvl w:val="0"/>
          <w:numId w:val="15"/>
        </w:numPr>
        <w:spacing w:after="0" w:line="240" w:lineRule="auto"/>
        <w:ind w:left="360"/>
        <w:jc w:val="both"/>
        <w:rPr>
          <w:rFonts w:ascii="Verdana" w:hAnsi="Verdana"/>
        </w:rPr>
      </w:pPr>
      <w:r w:rsidRPr="00681EF8">
        <w:rPr>
          <w:rFonts w:ascii="Verdana" w:hAnsi="Verdana"/>
        </w:rPr>
        <w:t xml:space="preserve">Si en la audiencia de conciliación no se llega a un acuerdo conciliatorio, el/la apoderado/a que tiene a cargo el caso debe </w:t>
      </w:r>
      <w:r w:rsidR="009827C6" w:rsidRPr="00681EF8">
        <w:rPr>
          <w:rFonts w:ascii="Verdana" w:hAnsi="Verdana"/>
        </w:rPr>
        <w:t>cerrarlo en las bases de la entidad</w:t>
      </w:r>
      <w:r w:rsidR="00E11929" w:rsidRPr="00681EF8">
        <w:rPr>
          <w:rFonts w:ascii="Verdana" w:hAnsi="Verdana"/>
        </w:rPr>
        <w:t xml:space="preserve"> </w:t>
      </w:r>
      <w:r w:rsidRPr="00681EF8">
        <w:rPr>
          <w:rFonts w:ascii="Verdana" w:hAnsi="Verdana"/>
        </w:rPr>
        <w:t>e informar a las áreas pertinentes.</w:t>
      </w:r>
    </w:p>
    <w:p w14:paraId="4010A41E" w14:textId="77777777" w:rsidR="006356C6" w:rsidRPr="00681EF8" w:rsidRDefault="006356C6" w:rsidP="00B64A95">
      <w:pPr>
        <w:pStyle w:val="Prrafodelista"/>
        <w:spacing w:after="0" w:line="240" w:lineRule="auto"/>
        <w:ind w:left="360"/>
        <w:rPr>
          <w:rFonts w:ascii="Verdana" w:hAnsi="Verdana"/>
        </w:rPr>
      </w:pPr>
    </w:p>
    <w:p w14:paraId="5974F73A" w14:textId="579E370D" w:rsidR="006356C6" w:rsidRPr="00681EF8" w:rsidRDefault="006356C6" w:rsidP="00B64A95">
      <w:pPr>
        <w:pStyle w:val="Prrafodelista"/>
        <w:numPr>
          <w:ilvl w:val="0"/>
          <w:numId w:val="15"/>
        </w:numPr>
        <w:spacing w:after="0" w:line="240" w:lineRule="auto"/>
        <w:ind w:left="360"/>
        <w:jc w:val="both"/>
        <w:rPr>
          <w:rFonts w:ascii="Verdana" w:hAnsi="Verdana"/>
        </w:rPr>
      </w:pPr>
      <w:r w:rsidRPr="00681EF8">
        <w:rPr>
          <w:rFonts w:ascii="Verdana" w:hAnsi="Verdana"/>
        </w:rPr>
        <w:t xml:space="preserve">Si el/la juez/a imprueba el acuerdo conciliatorio, el/la apoderado/a que tiene a cargo el caso debe </w:t>
      </w:r>
      <w:r w:rsidR="009827C6" w:rsidRPr="00681EF8">
        <w:rPr>
          <w:rFonts w:ascii="Verdana" w:hAnsi="Verdana"/>
        </w:rPr>
        <w:t>cerrarlo en las bases de la entidad</w:t>
      </w:r>
      <w:r w:rsidR="00F00FAD" w:rsidRPr="00681EF8">
        <w:rPr>
          <w:rFonts w:ascii="Verdana" w:hAnsi="Verdana"/>
        </w:rPr>
        <w:t xml:space="preserve"> </w:t>
      </w:r>
      <w:r w:rsidRPr="00681EF8">
        <w:rPr>
          <w:rFonts w:ascii="Verdana" w:hAnsi="Verdana"/>
        </w:rPr>
        <w:t>e informar a las áreas pertinentes.</w:t>
      </w:r>
    </w:p>
    <w:p w14:paraId="773D4E39" w14:textId="77777777" w:rsidR="006356C6" w:rsidRPr="00681EF8" w:rsidRDefault="006356C6" w:rsidP="00B64A95">
      <w:pPr>
        <w:pStyle w:val="Prrafodelista"/>
        <w:spacing w:after="0" w:line="240" w:lineRule="auto"/>
        <w:ind w:left="360"/>
        <w:rPr>
          <w:rFonts w:ascii="Verdana" w:hAnsi="Verdana"/>
        </w:rPr>
      </w:pPr>
    </w:p>
    <w:p w14:paraId="05EEDEF7" w14:textId="49FC3817" w:rsidR="006356C6" w:rsidRPr="00681EF8" w:rsidRDefault="006356C6" w:rsidP="00B64A95">
      <w:pPr>
        <w:pStyle w:val="Prrafodelista"/>
        <w:numPr>
          <w:ilvl w:val="0"/>
          <w:numId w:val="15"/>
        </w:numPr>
        <w:spacing w:after="0" w:line="240" w:lineRule="auto"/>
        <w:ind w:left="360"/>
        <w:jc w:val="both"/>
        <w:rPr>
          <w:rFonts w:ascii="Verdana" w:hAnsi="Verdana"/>
        </w:rPr>
      </w:pPr>
      <w:r w:rsidRPr="00681EF8">
        <w:rPr>
          <w:rFonts w:ascii="Verdana" w:hAnsi="Verdana"/>
          <w:lang w:val="es-ES"/>
        </w:rPr>
        <w:t xml:space="preserve">Si el/la procurador/a o el/la juez/a devuelve el acuerdo conciliatorio para reconsideración por parte del </w:t>
      </w:r>
      <w:r w:rsidR="002B751B" w:rsidRPr="00681EF8">
        <w:rPr>
          <w:rFonts w:ascii="Verdana" w:hAnsi="Verdana"/>
          <w:lang w:val="es-MX"/>
        </w:rPr>
        <w:t xml:space="preserve">comité de conciliación </w:t>
      </w:r>
      <w:r w:rsidR="002B751B" w:rsidRPr="00681EF8">
        <w:rPr>
          <w:rFonts w:ascii="Verdana" w:hAnsi="Verdana"/>
        </w:rPr>
        <w:t>y/o representante legal</w:t>
      </w:r>
      <w:r w:rsidRPr="00681EF8">
        <w:rPr>
          <w:rFonts w:ascii="Verdana" w:hAnsi="Verdana"/>
          <w:lang w:val="es-ES"/>
        </w:rPr>
        <w:t>, el valor de la provisión se debe actualizar conforme a la decisión del comité.</w:t>
      </w:r>
    </w:p>
    <w:p w14:paraId="37EC5FC1" w14:textId="77777777" w:rsidR="006356C6" w:rsidRPr="00681EF8" w:rsidRDefault="006356C6" w:rsidP="00B64A95">
      <w:pPr>
        <w:pStyle w:val="Prrafodelista"/>
        <w:spacing w:after="0" w:line="240" w:lineRule="auto"/>
        <w:rPr>
          <w:rFonts w:ascii="Verdana" w:hAnsi="Verdana"/>
        </w:rPr>
      </w:pPr>
    </w:p>
    <w:p w14:paraId="02224788" w14:textId="57EE2C83" w:rsidR="006356C6" w:rsidRPr="00681EF8" w:rsidRDefault="006356C6" w:rsidP="00B64A95">
      <w:pPr>
        <w:pStyle w:val="Prrafodelista"/>
        <w:numPr>
          <w:ilvl w:val="0"/>
          <w:numId w:val="15"/>
        </w:numPr>
        <w:spacing w:after="0" w:line="240" w:lineRule="auto"/>
        <w:ind w:left="360"/>
        <w:jc w:val="both"/>
        <w:rPr>
          <w:rFonts w:ascii="Verdana" w:hAnsi="Verdana"/>
        </w:rPr>
      </w:pPr>
      <w:r w:rsidRPr="00681EF8">
        <w:rPr>
          <w:rFonts w:ascii="Verdana" w:hAnsi="Verdana"/>
        </w:rPr>
        <w:t xml:space="preserve">Si el/la juez/a aprueba la conciliación, el/la apoderado/a que tiene a cargo el caso, debe actualizar </w:t>
      </w:r>
      <w:r w:rsidR="00AC3015" w:rsidRPr="00681EF8">
        <w:rPr>
          <w:rFonts w:ascii="Verdana" w:hAnsi="Verdana"/>
        </w:rPr>
        <w:t>la</w:t>
      </w:r>
      <w:r w:rsidR="002E718F" w:rsidRPr="00681EF8">
        <w:rPr>
          <w:rFonts w:ascii="Verdana" w:hAnsi="Verdana"/>
        </w:rPr>
        <w:t xml:space="preserve"> información </w:t>
      </w:r>
      <w:r w:rsidRPr="00681EF8">
        <w:rPr>
          <w:rFonts w:ascii="Verdana" w:hAnsi="Verdana"/>
        </w:rPr>
        <w:t>e informar al área financiera para que lo registre como una cuenta por pagar.</w:t>
      </w:r>
    </w:p>
    <w:p w14:paraId="781EECC4" w14:textId="77777777" w:rsidR="006356C6" w:rsidRPr="00681EF8" w:rsidRDefault="006356C6" w:rsidP="00B64A95">
      <w:pPr>
        <w:pStyle w:val="Prrafodelista"/>
        <w:spacing w:after="0" w:line="240" w:lineRule="auto"/>
        <w:ind w:left="360"/>
        <w:rPr>
          <w:rFonts w:ascii="Verdana" w:hAnsi="Verdana"/>
        </w:rPr>
      </w:pPr>
    </w:p>
    <w:p w14:paraId="4E350D1F" w14:textId="672E92C7" w:rsidR="00C22868" w:rsidRPr="00681EF8" w:rsidRDefault="006356C6" w:rsidP="00B64A95">
      <w:pPr>
        <w:pStyle w:val="Prrafodelista"/>
        <w:numPr>
          <w:ilvl w:val="0"/>
          <w:numId w:val="15"/>
        </w:numPr>
        <w:spacing w:after="0" w:line="240" w:lineRule="auto"/>
        <w:ind w:left="360"/>
        <w:jc w:val="both"/>
        <w:rPr>
          <w:rFonts w:ascii="Verdana" w:hAnsi="Verdana"/>
        </w:rPr>
      </w:pPr>
      <w:r w:rsidRPr="00681EF8">
        <w:rPr>
          <w:rFonts w:ascii="Verdana" w:hAnsi="Verdana"/>
          <w:lang w:val="es-MX"/>
        </w:rPr>
        <w:t xml:space="preserve">Vencido el término de seis (6) meses, contado a partir de la solicitud de conciliación, sin que se hubiese celebrado la audiencia de conciliación, el/la apoderado/a encargado/a del caso </w:t>
      </w:r>
      <w:r w:rsidRPr="00681EF8">
        <w:rPr>
          <w:rFonts w:ascii="Verdana" w:hAnsi="Verdana"/>
        </w:rPr>
        <w:t xml:space="preserve">debe </w:t>
      </w:r>
      <w:r w:rsidR="009827C6" w:rsidRPr="00681EF8">
        <w:rPr>
          <w:rFonts w:ascii="Verdana" w:hAnsi="Verdana"/>
        </w:rPr>
        <w:t>cerrarlo en las bases de la entidad</w:t>
      </w:r>
      <w:r w:rsidR="00994C61" w:rsidRPr="00681EF8">
        <w:rPr>
          <w:rFonts w:ascii="Verdana" w:hAnsi="Verdana"/>
        </w:rPr>
        <w:t xml:space="preserve"> </w:t>
      </w:r>
      <w:r w:rsidRPr="00681EF8">
        <w:rPr>
          <w:rFonts w:ascii="Verdana" w:hAnsi="Verdana"/>
          <w:lang w:val="es-ES"/>
        </w:rPr>
        <w:t>e informar a las áreas correspondientes.</w:t>
      </w:r>
    </w:p>
    <w:p w14:paraId="561048B6" w14:textId="77777777" w:rsidR="006E494E" w:rsidRPr="00681EF8" w:rsidRDefault="006E494E" w:rsidP="00B64A95">
      <w:pPr>
        <w:spacing w:after="0" w:line="240" w:lineRule="auto"/>
        <w:jc w:val="both"/>
        <w:rPr>
          <w:rFonts w:ascii="Verdana" w:hAnsi="Verdana"/>
        </w:rPr>
      </w:pPr>
    </w:p>
    <w:p w14:paraId="3C552017" w14:textId="77777777" w:rsidR="00A703E0" w:rsidRPr="00681EF8" w:rsidRDefault="00A703E0" w:rsidP="00B64A95">
      <w:pPr>
        <w:spacing w:after="0" w:line="240" w:lineRule="auto"/>
        <w:jc w:val="center"/>
        <w:rPr>
          <w:rFonts w:ascii="Verdana" w:hAnsi="Verdana"/>
          <w:b/>
        </w:rPr>
      </w:pPr>
    </w:p>
    <w:p w14:paraId="28BCE873" w14:textId="77777777" w:rsidR="00A703E0" w:rsidRPr="00681EF8" w:rsidRDefault="00A703E0" w:rsidP="00B64A95">
      <w:pPr>
        <w:spacing w:after="0" w:line="240" w:lineRule="auto"/>
        <w:jc w:val="center"/>
        <w:rPr>
          <w:rFonts w:ascii="Verdana" w:hAnsi="Verdana"/>
          <w:b/>
        </w:rPr>
      </w:pPr>
      <w:r w:rsidRPr="00681EF8">
        <w:rPr>
          <w:rFonts w:ascii="Verdana" w:hAnsi="Verdana"/>
          <w:b/>
        </w:rPr>
        <w:t xml:space="preserve">CAPÍTULO III </w:t>
      </w:r>
    </w:p>
    <w:p w14:paraId="79FAD1F7" w14:textId="06BE6A62" w:rsidR="006356C6" w:rsidRPr="00681EF8" w:rsidRDefault="006356C6" w:rsidP="00B64A95">
      <w:pPr>
        <w:spacing w:after="0" w:line="240" w:lineRule="auto"/>
        <w:jc w:val="center"/>
        <w:rPr>
          <w:rFonts w:ascii="Verdana" w:hAnsi="Verdana"/>
          <w:b/>
        </w:rPr>
      </w:pPr>
      <w:r w:rsidRPr="00681EF8">
        <w:rPr>
          <w:rFonts w:ascii="Verdana" w:hAnsi="Verdana"/>
          <w:b/>
        </w:rPr>
        <w:t>CALIFICACIÓN DEL RIESGO PROCESAL Y OBLIGACIÓN CONTINGENTE DE PROCESOS JUDICIALES</w:t>
      </w:r>
    </w:p>
    <w:p w14:paraId="2655EEE9" w14:textId="77777777" w:rsidR="006356C6" w:rsidRPr="00681EF8" w:rsidRDefault="006356C6" w:rsidP="00B64A95">
      <w:pPr>
        <w:spacing w:after="0" w:line="240" w:lineRule="auto"/>
        <w:jc w:val="both"/>
        <w:rPr>
          <w:rFonts w:ascii="Verdana" w:hAnsi="Verdana"/>
        </w:rPr>
      </w:pPr>
    </w:p>
    <w:p w14:paraId="49BB35FD" w14:textId="7CFB81E8" w:rsidR="006356C6" w:rsidRPr="00681EF8" w:rsidRDefault="006356C6" w:rsidP="00B64A95">
      <w:pPr>
        <w:spacing w:after="0" w:line="240" w:lineRule="auto"/>
        <w:jc w:val="both"/>
        <w:rPr>
          <w:rFonts w:ascii="Verdana" w:hAnsi="Verdana"/>
        </w:rPr>
      </w:pPr>
      <w:r w:rsidRPr="00681EF8">
        <w:rPr>
          <w:rFonts w:ascii="Verdana" w:hAnsi="Verdana"/>
          <w:b/>
        </w:rPr>
        <w:t xml:space="preserve">Artículo </w:t>
      </w:r>
      <w:r w:rsidR="00574F98" w:rsidRPr="00681EF8">
        <w:rPr>
          <w:rFonts w:ascii="Verdana" w:hAnsi="Verdana"/>
          <w:b/>
        </w:rPr>
        <w:t>7º</w:t>
      </w:r>
      <w:r w:rsidRPr="00681EF8">
        <w:rPr>
          <w:rFonts w:ascii="Verdana" w:hAnsi="Verdana"/>
          <w:b/>
        </w:rPr>
        <w:t xml:space="preserve">. Metodología para el cálculo de la obligación contingente de procesos judiciales. </w:t>
      </w:r>
      <w:r w:rsidRPr="00681EF8">
        <w:rPr>
          <w:rFonts w:ascii="Verdana" w:hAnsi="Verdana"/>
        </w:rPr>
        <w:t>La metodología para la determinación de la obligación contingente relacionada con los procesos judiciales excluye</w:t>
      </w:r>
      <w:r w:rsidR="00C7169E" w:rsidRPr="00681EF8">
        <w:rPr>
          <w:rFonts w:ascii="Verdana" w:hAnsi="Verdana"/>
        </w:rPr>
        <w:t xml:space="preserve"> los procesos</w:t>
      </w:r>
      <w:r w:rsidRPr="00681EF8">
        <w:rPr>
          <w:rFonts w:ascii="Verdana" w:hAnsi="Verdana"/>
        </w:rPr>
        <w:t>: a) en los cuales la entidad actúa en calidad de demandante; b) aquellos en donde no hay pretensión económica que genere erogación; c) las acciones constitucionales, excepto la reparación de los perjuicios ca</w:t>
      </w:r>
      <w:r w:rsidR="00C7169E" w:rsidRPr="00681EF8">
        <w:rPr>
          <w:rFonts w:ascii="Verdana" w:hAnsi="Verdana"/>
        </w:rPr>
        <w:t>u</w:t>
      </w:r>
      <w:r w:rsidRPr="00681EF8">
        <w:rPr>
          <w:rFonts w:ascii="Verdana" w:hAnsi="Verdana"/>
        </w:rPr>
        <w:t xml:space="preserve">sados a un grupo; d) </w:t>
      </w:r>
      <w:r w:rsidR="00C7169E" w:rsidRPr="00681EF8">
        <w:rPr>
          <w:rFonts w:ascii="Verdana" w:hAnsi="Verdana"/>
        </w:rPr>
        <w:t xml:space="preserve">de </w:t>
      </w:r>
      <w:r w:rsidRPr="00681EF8">
        <w:rPr>
          <w:rFonts w:ascii="Verdana" w:hAnsi="Verdana"/>
        </w:rPr>
        <w:t xml:space="preserve">nulidad simple; e) </w:t>
      </w:r>
      <w:r w:rsidR="00C7169E" w:rsidRPr="00681EF8">
        <w:rPr>
          <w:rFonts w:ascii="Verdana" w:hAnsi="Verdana"/>
        </w:rPr>
        <w:t xml:space="preserve">de </w:t>
      </w:r>
      <w:r w:rsidRPr="00681EF8">
        <w:rPr>
          <w:rFonts w:ascii="Verdana" w:hAnsi="Verdana"/>
        </w:rPr>
        <w:t xml:space="preserve">nulidad electoral, f) </w:t>
      </w:r>
      <w:r w:rsidR="00C7169E" w:rsidRPr="00681EF8">
        <w:rPr>
          <w:rFonts w:ascii="Verdana" w:hAnsi="Verdana"/>
        </w:rPr>
        <w:t xml:space="preserve">de </w:t>
      </w:r>
      <w:r w:rsidRPr="00681EF8">
        <w:rPr>
          <w:rFonts w:ascii="Verdana" w:hAnsi="Verdana"/>
        </w:rPr>
        <w:t xml:space="preserve">nulidad por inconstitucionalidad; g) </w:t>
      </w:r>
      <w:r w:rsidR="00C7169E" w:rsidRPr="00681EF8">
        <w:rPr>
          <w:rFonts w:ascii="Verdana" w:hAnsi="Verdana"/>
        </w:rPr>
        <w:t xml:space="preserve">de </w:t>
      </w:r>
      <w:r w:rsidRPr="00681EF8">
        <w:rPr>
          <w:rFonts w:ascii="Verdana" w:hAnsi="Verdana"/>
        </w:rPr>
        <w:t xml:space="preserve">control inmediato de legalidad; h) ejecutivos conexos; </w:t>
      </w:r>
      <w:r w:rsidR="00C7169E" w:rsidRPr="00681EF8">
        <w:rPr>
          <w:rFonts w:ascii="Verdana" w:hAnsi="Verdana"/>
        </w:rPr>
        <w:t>y</w:t>
      </w:r>
      <w:r w:rsidRPr="00681EF8">
        <w:rPr>
          <w:rFonts w:ascii="Verdana" w:hAnsi="Verdana"/>
        </w:rPr>
        <w:t xml:space="preserve"> i) las conciliaciones judiciales y los trámites relacionados con extensión de jurisprudencia. </w:t>
      </w:r>
    </w:p>
    <w:p w14:paraId="2A0632CC" w14:textId="77777777" w:rsidR="006356C6" w:rsidRPr="00681EF8" w:rsidRDefault="006356C6" w:rsidP="00B64A95">
      <w:pPr>
        <w:spacing w:after="0" w:line="240" w:lineRule="auto"/>
        <w:jc w:val="both"/>
        <w:rPr>
          <w:rFonts w:ascii="Verdana" w:hAnsi="Verdana"/>
        </w:rPr>
      </w:pPr>
    </w:p>
    <w:p w14:paraId="4AD773DB" w14:textId="735CA44D" w:rsidR="006356C6" w:rsidRPr="00681EF8" w:rsidRDefault="006356C6" w:rsidP="00B64A95">
      <w:pPr>
        <w:shd w:val="clear" w:color="auto" w:fill="FFFFFF" w:themeFill="background1"/>
        <w:spacing w:after="0" w:line="240" w:lineRule="auto"/>
        <w:jc w:val="both"/>
        <w:rPr>
          <w:rFonts w:ascii="Verdana" w:hAnsi="Verdana"/>
        </w:rPr>
      </w:pPr>
      <w:r w:rsidRPr="00681EF8">
        <w:rPr>
          <w:rFonts w:ascii="Verdana" w:hAnsi="Verdana"/>
        </w:rPr>
        <w:t>A partir de la notificación de la demanda y antes de que sea contestada, se debe efectuar la primera calificación y el cálculo de la obligación contingente</w:t>
      </w:r>
      <w:r w:rsidR="00E75BB8" w:rsidRPr="00681EF8">
        <w:rPr>
          <w:rFonts w:ascii="Verdana" w:hAnsi="Verdana"/>
        </w:rPr>
        <w:t>,</w:t>
      </w:r>
      <w:r w:rsidR="00D9354D" w:rsidRPr="00681EF8">
        <w:rPr>
          <w:rFonts w:ascii="Verdana" w:hAnsi="Verdana"/>
        </w:rPr>
        <w:t xml:space="preserve"> </w:t>
      </w:r>
      <w:r w:rsidR="00E75BB8" w:rsidRPr="00681EF8">
        <w:rPr>
          <w:rFonts w:ascii="Verdana" w:eastAsia="Times New Roman" w:hAnsi="Verdana" w:cs="Times New Roman"/>
          <w:lang w:val="es-MX" w:eastAsia="es-CO"/>
        </w:rPr>
        <w:t xml:space="preserve">utilizando para ello la </w:t>
      </w:r>
      <w:r w:rsidR="00E930F6" w:rsidRPr="00681EF8">
        <w:rPr>
          <w:rFonts w:ascii="Verdana" w:eastAsia="Times New Roman" w:hAnsi="Verdana" w:cs="Times New Roman"/>
          <w:lang w:val="es-MX" w:eastAsia="es-CO"/>
        </w:rPr>
        <w:t>Herramienta de Ayuda</w:t>
      </w:r>
      <w:r w:rsidR="00E75BB8" w:rsidRPr="00681EF8">
        <w:rPr>
          <w:rFonts w:ascii="Verdana" w:eastAsia="Times New Roman" w:hAnsi="Verdana" w:cs="Times New Roman"/>
          <w:lang w:eastAsia="es-CO"/>
        </w:rPr>
        <w:t xml:space="preserve">. Además, </w:t>
      </w:r>
      <w:r w:rsidR="00CF628C" w:rsidRPr="00681EF8">
        <w:rPr>
          <w:rFonts w:ascii="Verdana" w:hAnsi="Verdana"/>
        </w:rPr>
        <w:t xml:space="preserve">comunicaraá los resultados </w:t>
      </w:r>
      <w:r w:rsidR="00E75BB8" w:rsidRPr="00681EF8">
        <w:rPr>
          <w:rFonts w:ascii="Verdana" w:hAnsi="Verdana"/>
        </w:rPr>
        <w:t xml:space="preserve">al área financiera </w:t>
      </w:r>
      <w:r w:rsidR="00CF628C" w:rsidRPr="00681EF8">
        <w:rPr>
          <w:rFonts w:ascii="Verdana" w:eastAsia="Times New Roman" w:hAnsi="Verdana" w:cs="Times New Roman"/>
          <w:lang w:eastAsia="es-CO"/>
        </w:rPr>
        <w:t xml:space="preserve">para que se realice el </w:t>
      </w:r>
      <w:r w:rsidR="00E75BB8" w:rsidRPr="00681EF8">
        <w:rPr>
          <w:rFonts w:ascii="Verdana" w:hAnsi="Verdana"/>
        </w:rPr>
        <w:t>correspondiente registro, si hay lugar a ello.</w:t>
      </w:r>
    </w:p>
    <w:p w14:paraId="468477CB" w14:textId="77777777" w:rsidR="006356C6" w:rsidRPr="00681EF8" w:rsidRDefault="006356C6" w:rsidP="00B64A95">
      <w:pPr>
        <w:shd w:val="clear" w:color="auto" w:fill="FFFFFF" w:themeFill="background1"/>
        <w:spacing w:after="0" w:line="240" w:lineRule="auto"/>
        <w:jc w:val="both"/>
        <w:rPr>
          <w:rFonts w:ascii="Verdana" w:hAnsi="Verdana"/>
        </w:rPr>
      </w:pPr>
    </w:p>
    <w:p w14:paraId="62F47B6A" w14:textId="77777777" w:rsidR="006356C6" w:rsidRPr="00681EF8" w:rsidRDefault="006356C6" w:rsidP="00B64A95">
      <w:pPr>
        <w:shd w:val="clear" w:color="auto" w:fill="FFFFFF" w:themeFill="background1"/>
        <w:spacing w:after="0" w:line="240" w:lineRule="auto"/>
        <w:jc w:val="both"/>
        <w:rPr>
          <w:rFonts w:ascii="Verdana" w:hAnsi="Verdana"/>
        </w:rPr>
      </w:pPr>
      <w:r w:rsidRPr="00681EF8">
        <w:rPr>
          <w:rFonts w:ascii="Verdana" w:hAnsi="Verdana"/>
        </w:rPr>
        <w:t>En el evento en el que se profiera una sentencia no ejecutoriada, y/o cuando en el proceso existan elementos probatorios, jurisprudenciales y/o sustanciales que modifiquen la calificación previa, se debe actualizar la obligación contingente.</w:t>
      </w:r>
    </w:p>
    <w:p w14:paraId="582F7516" w14:textId="77777777" w:rsidR="006356C6" w:rsidRPr="00681EF8" w:rsidRDefault="006356C6" w:rsidP="00B64A95">
      <w:pPr>
        <w:shd w:val="clear" w:color="auto" w:fill="FFFFFF" w:themeFill="background1"/>
        <w:spacing w:after="0" w:line="240" w:lineRule="auto"/>
        <w:jc w:val="both"/>
        <w:rPr>
          <w:rFonts w:ascii="Verdana" w:hAnsi="Verdana"/>
        </w:rPr>
      </w:pPr>
    </w:p>
    <w:p w14:paraId="2FABB631" w14:textId="77777777" w:rsidR="006356C6" w:rsidRPr="00681EF8" w:rsidRDefault="006356C6" w:rsidP="00B64A95">
      <w:pPr>
        <w:shd w:val="clear" w:color="auto" w:fill="FFFFFF" w:themeFill="background1"/>
        <w:spacing w:after="0" w:line="240" w:lineRule="auto"/>
        <w:jc w:val="both"/>
        <w:rPr>
          <w:rFonts w:ascii="Verdana" w:hAnsi="Verdana"/>
        </w:rPr>
      </w:pPr>
      <w:r w:rsidRPr="00681EF8">
        <w:rPr>
          <w:rFonts w:ascii="Verdana" w:hAnsi="Verdana"/>
        </w:rPr>
        <w:t>Los/las apoderado/as de cada proceso son los encargados de efectuar la calificación del riesgo procesal y calcular la obligación contingente, siendo obligatorio informar al área financiera el valor de esta.</w:t>
      </w:r>
    </w:p>
    <w:p w14:paraId="6E1396B2" w14:textId="77777777" w:rsidR="006356C6" w:rsidRPr="00681EF8" w:rsidRDefault="006356C6" w:rsidP="00B64A95">
      <w:pPr>
        <w:spacing w:after="0" w:line="240" w:lineRule="auto"/>
        <w:jc w:val="both"/>
        <w:rPr>
          <w:rFonts w:ascii="Verdana" w:hAnsi="Verdana"/>
        </w:rPr>
      </w:pPr>
    </w:p>
    <w:p w14:paraId="00891F55" w14:textId="69425903" w:rsidR="006356C6" w:rsidRPr="00681EF8" w:rsidRDefault="006356C6" w:rsidP="00B64A95">
      <w:pPr>
        <w:spacing w:after="0" w:line="240" w:lineRule="auto"/>
        <w:jc w:val="both"/>
        <w:rPr>
          <w:rFonts w:ascii="Verdana" w:hAnsi="Verdana"/>
        </w:rPr>
      </w:pPr>
      <w:r w:rsidRPr="00681EF8">
        <w:rPr>
          <w:rFonts w:ascii="Verdana" w:hAnsi="Verdana"/>
        </w:rPr>
        <w:t>En todo caso, el/la apoderado/a debe actualizar la calificación del riesgo y calcular la obligación contingente de los procesos judiciales con una periodicidad no superior a seis (6) meses</w:t>
      </w:r>
      <w:r w:rsidRPr="00681EF8">
        <w:rPr>
          <w:rStyle w:val="Refdenotaalpie"/>
          <w:rFonts w:ascii="Verdana" w:hAnsi="Verdana"/>
        </w:rPr>
        <w:footnoteReference w:id="9"/>
      </w:r>
      <w:r w:rsidR="007E44F2" w:rsidRPr="00681EF8">
        <w:rPr>
          <w:rFonts w:ascii="Verdana" w:hAnsi="Verdana"/>
        </w:rPr>
        <w:t xml:space="preserve">,para lo cual podrá hacer uso de </w:t>
      </w:r>
      <w:r w:rsidR="00544701" w:rsidRPr="00681EF8">
        <w:rPr>
          <w:rFonts w:ascii="Verdana" w:hAnsi="Verdana"/>
        </w:rPr>
        <w:t xml:space="preserve">la </w:t>
      </w:r>
      <w:r w:rsidR="00E930F6" w:rsidRPr="00681EF8">
        <w:rPr>
          <w:rFonts w:ascii="Verdana" w:hAnsi="Verdana"/>
        </w:rPr>
        <w:t>Herramienta de Ayuda</w:t>
      </w:r>
      <w:r w:rsidRPr="00681EF8">
        <w:rPr>
          <w:rFonts w:ascii="Verdana" w:hAnsi="Verdana"/>
        </w:rPr>
        <w:t>.</w:t>
      </w:r>
    </w:p>
    <w:p w14:paraId="017647E4" w14:textId="77777777" w:rsidR="006356C6" w:rsidRPr="00681EF8" w:rsidRDefault="006356C6" w:rsidP="00B64A95">
      <w:pPr>
        <w:shd w:val="clear" w:color="auto" w:fill="FFFFFF" w:themeFill="background1"/>
        <w:spacing w:after="0" w:line="240" w:lineRule="auto"/>
        <w:jc w:val="both"/>
        <w:rPr>
          <w:rFonts w:ascii="Verdana" w:hAnsi="Verdana"/>
        </w:rPr>
      </w:pPr>
      <w:r w:rsidRPr="00681EF8">
        <w:rPr>
          <w:rFonts w:ascii="Verdana" w:hAnsi="Verdana"/>
        </w:rPr>
        <w:t xml:space="preserve"> </w:t>
      </w:r>
    </w:p>
    <w:p w14:paraId="31B0B81A" w14:textId="465EC0DB" w:rsidR="006356C6" w:rsidRPr="00681EF8" w:rsidRDefault="006356C6" w:rsidP="00B64A95">
      <w:pPr>
        <w:spacing w:after="0" w:line="240" w:lineRule="auto"/>
        <w:jc w:val="both"/>
        <w:rPr>
          <w:rFonts w:ascii="Verdana" w:hAnsi="Verdana"/>
        </w:rPr>
      </w:pPr>
      <w:r w:rsidRPr="00681EF8">
        <w:rPr>
          <w:rFonts w:ascii="Verdana" w:hAnsi="Verdana"/>
          <w:b/>
        </w:rPr>
        <w:t xml:space="preserve">Parágrafo: </w:t>
      </w:r>
      <w:r w:rsidRPr="00681EF8">
        <w:rPr>
          <w:rFonts w:ascii="Verdana" w:hAnsi="Verdana"/>
        </w:rPr>
        <w:t>La metodología consta de cinco pasos en los que debe actuar el apoderado/a del proceso. Estos pasos son: 1) determinar el valor de las pretensiones, 2) ajustar el valor de las pretensiones, 3) cuantificar la probabilidad de pérdida del proceso; 4) calcular el valor de la obligación contingente; y 5)</w:t>
      </w:r>
      <w:r w:rsidR="00D87AC5" w:rsidRPr="00681EF8">
        <w:rPr>
          <w:rFonts w:ascii="Verdana" w:hAnsi="Verdana"/>
        </w:rPr>
        <w:t xml:space="preserve"> </w:t>
      </w:r>
      <w:bookmarkStart w:id="5" w:name="_Hlk120627177"/>
      <w:r w:rsidR="00D87AC5" w:rsidRPr="00681EF8">
        <w:rPr>
          <w:rFonts w:ascii="Verdana" w:hAnsi="Verdana"/>
        </w:rPr>
        <w:t xml:space="preserve">comunicar al área financiera el valor estimado de la </w:t>
      </w:r>
      <w:bookmarkEnd w:id="5"/>
      <w:r w:rsidR="00D87AC5" w:rsidRPr="00681EF8">
        <w:rPr>
          <w:rFonts w:ascii="Verdana" w:hAnsi="Verdana"/>
        </w:rPr>
        <w:t>obligación contingente para que este sea registrado conforme a la regulación contable pública expedida por la Contaduría General de la Nación</w:t>
      </w:r>
      <w:r w:rsidR="00056D81" w:rsidRPr="00681EF8">
        <w:rPr>
          <w:rFonts w:ascii="Verdana" w:hAnsi="Verdana"/>
        </w:rPr>
        <w:t>.</w:t>
      </w:r>
    </w:p>
    <w:p w14:paraId="3CC0DB1B" w14:textId="77777777" w:rsidR="00C22868" w:rsidRPr="00681EF8" w:rsidRDefault="00C22868" w:rsidP="00B64A95">
      <w:pPr>
        <w:spacing w:after="0" w:line="240" w:lineRule="auto"/>
        <w:jc w:val="both"/>
        <w:rPr>
          <w:rFonts w:ascii="Verdana" w:hAnsi="Verdana"/>
        </w:rPr>
      </w:pPr>
    </w:p>
    <w:p w14:paraId="310CCE06" w14:textId="1AF2643D" w:rsidR="006356C6" w:rsidRPr="00681EF8" w:rsidRDefault="006356C6" w:rsidP="00B64A95">
      <w:pPr>
        <w:spacing w:after="0" w:line="240" w:lineRule="auto"/>
        <w:jc w:val="both"/>
        <w:rPr>
          <w:rFonts w:ascii="Verdana" w:hAnsi="Verdana"/>
        </w:rPr>
      </w:pPr>
      <w:r w:rsidRPr="00681EF8">
        <w:rPr>
          <w:rFonts w:ascii="Verdana" w:hAnsi="Verdana"/>
          <w:b/>
        </w:rPr>
        <w:t xml:space="preserve">Artículo </w:t>
      </w:r>
      <w:r w:rsidR="00574F98" w:rsidRPr="00681EF8">
        <w:rPr>
          <w:rFonts w:ascii="Verdana" w:hAnsi="Verdana"/>
          <w:b/>
        </w:rPr>
        <w:t>8º</w:t>
      </w:r>
      <w:r w:rsidRPr="00681EF8">
        <w:rPr>
          <w:rFonts w:ascii="Verdana" w:hAnsi="Verdana"/>
          <w:b/>
        </w:rPr>
        <w:t xml:space="preserve">. Determinación del valor de las pretensiones. </w:t>
      </w:r>
      <w:r w:rsidRPr="00681EF8">
        <w:rPr>
          <w:rFonts w:ascii="Verdana" w:hAnsi="Verdana"/>
        </w:rPr>
        <w:t>El primer paso que debe realizar el/la apoderado/a del proceso es determinar el valor total de las pretensiones de la demanda. A continuación, se presentan los diferentes tipos de pretensiones y la forma en que los apoderado/as deben calcular este valor total. En todos los casos, y con independencia de si es posible determinar o no dicho valor, se debe garantizar que la información obtenida fluya en forma oportuna al área financiera.</w:t>
      </w:r>
    </w:p>
    <w:p w14:paraId="53489651" w14:textId="77777777" w:rsidR="006356C6" w:rsidRPr="00681EF8" w:rsidRDefault="006356C6" w:rsidP="00B64A95">
      <w:pPr>
        <w:spacing w:after="0" w:line="240" w:lineRule="auto"/>
        <w:jc w:val="both"/>
        <w:rPr>
          <w:rFonts w:ascii="Verdana" w:hAnsi="Verdana"/>
        </w:rPr>
      </w:pPr>
    </w:p>
    <w:p w14:paraId="22BB8EF9" w14:textId="77777777" w:rsidR="006356C6" w:rsidRPr="00681EF8" w:rsidRDefault="006356C6" w:rsidP="00B64A95">
      <w:pPr>
        <w:pStyle w:val="Prrafodelista"/>
        <w:numPr>
          <w:ilvl w:val="0"/>
          <w:numId w:val="8"/>
        </w:numPr>
        <w:spacing w:after="0" w:line="240" w:lineRule="auto"/>
        <w:ind w:left="360"/>
        <w:jc w:val="both"/>
        <w:rPr>
          <w:rFonts w:ascii="Verdana" w:hAnsi="Verdana"/>
        </w:rPr>
      </w:pPr>
      <w:r w:rsidRPr="00681EF8">
        <w:rPr>
          <w:rFonts w:ascii="Verdana" w:hAnsi="Verdana"/>
          <w:b/>
        </w:rPr>
        <w:t>Pretensiones determinadas:</w:t>
      </w:r>
      <w:r w:rsidRPr="00681EF8">
        <w:rPr>
          <w:rFonts w:ascii="Verdana" w:hAnsi="Verdana"/>
        </w:rPr>
        <w:t xml:space="preserve"> Corresponde a la suma de todas las pretensiones de la demanda.</w:t>
      </w:r>
    </w:p>
    <w:p w14:paraId="1068AF5E" w14:textId="77777777" w:rsidR="006356C6" w:rsidRPr="00681EF8" w:rsidRDefault="006356C6" w:rsidP="00B64A95">
      <w:pPr>
        <w:pStyle w:val="Prrafodelista"/>
        <w:spacing w:after="0" w:line="240" w:lineRule="auto"/>
        <w:ind w:left="360"/>
        <w:jc w:val="both"/>
        <w:rPr>
          <w:rFonts w:ascii="Verdana" w:hAnsi="Verdana"/>
        </w:rPr>
      </w:pPr>
    </w:p>
    <w:p w14:paraId="1B1C5283" w14:textId="77777777" w:rsidR="006356C6" w:rsidRPr="00681EF8" w:rsidRDefault="006356C6" w:rsidP="00B64A95">
      <w:pPr>
        <w:pStyle w:val="Prrafodelista"/>
        <w:numPr>
          <w:ilvl w:val="0"/>
          <w:numId w:val="8"/>
        </w:numPr>
        <w:spacing w:after="0" w:line="240" w:lineRule="auto"/>
        <w:ind w:left="360"/>
        <w:jc w:val="both"/>
        <w:rPr>
          <w:rFonts w:ascii="Verdana" w:hAnsi="Verdana"/>
        </w:rPr>
      </w:pPr>
      <w:r w:rsidRPr="00681EF8">
        <w:rPr>
          <w:rFonts w:ascii="Verdana" w:hAnsi="Verdana"/>
          <w:b/>
        </w:rPr>
        <w:t>Pretensiones indeterminadas:</w:t>
      </w:r>
      <w:r w:rsidRPr="00681EF8">
        <w:rPr>
          <w:rFonts w:ascii="Verdana" w:hAnsi="Verdana"/>
        </w:rPr>
        <w:t xml:space="preserve"> Para determinar el valor de este tipo de pretensiones debe tenerse en cuenta, entre otros: datos históricos de casos o procesos análogos y sentencias condenatorias precedentes. </w:t>
      </w:r>
    </w:p>
    <w:p w14:paraId="23B98F43" w14:textId="77777777" w:rsidR="006356C6" w:rsidRPr="00681EF8" w:rsidRDefault="006356C6" w:rsidP="00B64A95">
      <w:pPr>
        <w:pStyle w:val="Sinespaciado1"/>
        <w:rPr>
          <w:rFonts w:ascii="Verdana" w:hAnsi="Verdana"/>
          <w:sz w:val="22"/>
          <w:szCs w:val="22"/>
        </w:rPr>
      </w:pPr>
    </w:p>
    <w:p w14:paraId="10EEBA83" w14:textId="77777777" w:rsidR="006356C6" w:rsidRPr="00681EF8" w:rsidRDefault="006356C6" w:rsidP="00B64A95">
      <w:pPr>
        <w:spacing w:after="0" w:line="240" w:lineRule="auto"/>
        <w:ind w:left="360"/>
        <w:jc w:val="both"/>
        <w:rPr>
          <w:rFonts w:ascii="Verdana" w:hAnsi="Verdana"/>
          <w:b/>
        </w:rPr>
      </w:pPr>
      <w:r w:rsidRPr="00681EF8">
        <w:rPr>
          <w:rFonts w:ascii="Verdana" w:hAnsi="Verdana"/>
        </w:rPr>
        <w:lastRenderedPageBreak/>
        <w:t>En los procesos en los cuales se reclama prestaciones económicas periódicas, el/la apoderado/a del proceso debe efectuar la correspondiente liquidación tomando como referencia para el inicio del cálculo, la fecha presunta en la que se hizo exigible la obligación de acuerdo con lo indicado por el demandante y como fecha final, la fecha estimada de terminación del proceso.</w:t>
      </w:r>
    </w:p>
    <w:p w14:paraId="6B790073" w14:textId="77777777" w:rsidR="00C22868" w:rsidRPr="00681EF8" w:rsidRDefault="00C22868" w:rsidP="00B64A95">
      <w:pPr>
        <w:spacing w:after="0" w:line="240" w:lineRule="auto"/>
        <w:jc w:val="both"/>
        <w:rPr>
          <w:rFonts w:ascii="Verdana" w:hAnsi="Verdana"/>
          <w:b/>
        </w:rPr>
      </w:pPr>
    </w:p>
    <w:p w14:paraId="1408BF06" w14:textId="6BBD5830" w:rsidR="006356C6" w:rsidRPr="00681EF8" w:rsidRDefault="006356C6" w:rsidP="00B64A95">
      <w:pPr>
        <w:spacing w:after="0" w:line="240" w:lineRule="auto"/>
        <w:jc w:val="both"/>
        <w:rPr>
          <w:rFonts w:ascii="Verdana" w:hAnsi="Verdana"/>
        </w:rPr>
      </w:pPr>
      <w:r w:rsidRPr="00681EF8">
        <w:rPr>
          <w:rFonts w:ascii="Verdana" w:hAnsi="Verdana"/>
          <w:b/>
        </w:rPr>
        <w:t xml:space="preserve">Artículo </w:t>
      </w:r>
      <w:r w:rsidR="006D3FF6" w:rsidRPr="00681EF8">
        <w:rPr>
          <w:rFonts w:ascii="Verdana" w:hAnsi="Verdana"/>
          <w:b/>
        </w:rPr>
        <w:t>9</w:t>
      </w:r>
      <w:r w:rsidRPr="00681EF8">
        <w:rPr>
          <w:rFonts w:ascii="Verdana" w:hAnsi="Verdana"/>
          <w:b/>
        </w:rPr>
        <w:t>o. Ajuste de pretensiones.</w:t>
      </w:r>
      <w:r w:rsidRPr="00681EF8">
        <w:rPr>
          <w:rFonts w:ascii="Verdana" w:hAnsi="Verdana"/>
        </w:rPr>
        <w:t xml:space="preserve"> Para hacer el ajuste de las pretensiones, el/la apoderado/a debe multiplicar el valor total de las pretensiones por el valor resultante de la relación condena/pretensión de ese tipo de proceso. La relación condena/pretensión se calcula mediante la división del valor histórico de condena entre el valor histórico de pretensiones o por la disminución o aumento porcentual, cuando las pretensiones están sobreestimadas o subestimadas por el demandante según sea el caso. El valor que se obtiene al realizar el anterior procedimiento corresponde a la pretensión ajustada.  </w:t>
      </w:r>
    </w:p>
    <w:p w14:paraId="2E94F5EA" w14:textId="77777777" w:rsidR="006356C6" w:rsidRPr="00681EF8" w:rsidRDefault="006356C6" w:rsidP="00B64A95">
      <w:pPr>
        <w:spacing w:after="0" w:line="240" w:lineRule="auto"/>
        <w:jc w:val="both"/>
        <w:rPr>
          <w:rFonts w:ascii="Verdana" w:hAnsi="Verdana"/>
        </w:rPr>
      </w:pPr>
    </w:p>
    <w:p w14:paraId="23AAD658" w14:textId="77777777" w:rsidR="006356C6" w:rsidRPr="00681EF8" w:rsidRDefault="006356C6" w:rsidP="00B64A95">
      <w:pPr>
        <w:spacing w:after="0" w:line="240" w:lineRule="auto"/>
        <w:jc w:val="both"/>
        <w:rPr>
          <w:rFonts w:ascii="Verdana" w:hAnsi="Verdana"/>
        </w:rPr>
      </w:pPr>
      <m:oMathPara>
        <m:oMath>
          <m:r>
            <w:rPr>
              <w:rFonts w:ascii="Cambria Math" w:eastAsia="Times New Roman" w:hAnsi="Cambria Math" w:cs="Times New Roman"/>
              <w:lang w:eastAsia="es-CO"/>
            </w:rPr>
            <m:t xml:space="preserve">Pretensiones ajustadas </m:t>
          </m:r>
          <m:r>
            <m:rPr>
              <m:sty m:val="bi"/>
            </m:rPr>
            <w:rPr>
              <w:rFonts w:ascii="Cambria Math" w:eastAsia="Times New Roman" w:hAnsi="Cambria Math" w:cs="Times New Roman"/>
              <w:lang w:eastAsia="es-CO"/>
            </w:rPr>
            <m:t>=</m:t>
          </m:r>
          <m:r>
            <w:rPr>
              <w:rFonts w:ascii="Cambria Math" w:eastAsia="Times New Roman" w:hAnsi="Cambria Math" w:cs="Times New Roman"/>
              <w:lang w:eastAsia="es-CO"/>
            </w:rPr>
            <m:t xml:space="preserve">valor pretensiones  </m:t>
          </m:r>
          <m:r>
            <m:rPr>
              <m:sty m:val="bi"/>
            </m:rPr>
            <w:rPr>
              <w:rFonts w:ascii="Cambria Math" w:eastAsia="Times New Roman" w:hAnsi="Cambria Math" w:cs="Times New Roman"/>
              <w:lang w:eastAsia="es-CO"/>
            </w:rPr>
            <m:t>x</m:t>
          </m:r>
          <m:r>
            <w:rPr>
              <w:rFonts w:ascii="Cambria Math" w:eastAsia="Times New Roman" w:hAnsi="Cambria Math" w:cs="Times New Roman"/>
              <w:lang w:eastAsia="es-CO"/>
            </w:rPr>
            <m:t xml:space="preserve"> % relación condena/pretensión</m:t>
          </m:r>
        </m:oMath>
      </m:oMathPara>
    </w:p>
    <w:p w14:paraId="2727D26C" w14:textId="77777777" w:rsidR="00C22868" w:rsidRPr="00681EF8" w:rsidRDefault="00C22868" w:rsidP="00B64A95">
      <w:pPr>
        <w:spacing w:after="0" w:line="240" w:lineRule="auto"/>
        <w:jc w:val="both"/>
        <w:rPr>
          <w:rFonts w:ascii="Verdana" w:hAnsi="Verdana"/>
          <w:b/>
        </w:rPr>
      </w:pPr>
    </w:p>
    <w:p w14:paraId="6E1274CB" w14:textId="453CD929" w:rsidR="006356C6" w:rsidRPr="00681EF8" w:rsidRDefault="006356C6" w:rsidP="00B64A95">
      <w:pPr>
        <w:spacing w:after="0" w:line="240" w:lineRule="auto"/>
        <w:jc w:val="both"/>
        <w:rPr>
          <w:rFonts w:ascii="Verdana" w:hAnsi="Verdana"/>
          <w:b/>
        </w:rPr>
      </w:pPr>
      <w:r w:rsidRPr="00681EF8">
        <w:rPr>
          <w:rFonts w:ascii="Verdana" w:hAnsi="Verdana"/>
          <w:b/>
        </w:rPr>
        <w:t xml:space="preserve">Parágrafo: </w:t>
      </w:r>
      <w:r w:rsidRPr="00681EF8">
        <w:rPr>
          <w:rFonts w:ascii="Verdana" w:hAnsi="Verdana"/>
        </w:rPr>
        <w:t>En caso de no contar con información para realizar este cálculo, el/la apoderado/a podrá estimar, con base en su experiencia, el valor que probablemente tendría que pagar la entidad en caso de ser condenada y utilizar este monto como referencia para el registro de la obligación contingente.</w:t>
      </w:r>
    </w:p>
    <w:p w14:paraId="00171EF2" w14:textId="77777777" w:rsidR="00C22868" w:rsidRPr="00681EF8" w:rsidRDefault="00C22868" w:rsidP="00B64A95">
      <w:pPr>
        <w:spacing w:after="0" w:line="240" w:lineRule="auto"/>
        <w:jc w:val="both"/>
        <w:rPr>
          <w:rFonts w:ascii="Verdana" w:hAnsi="Verdana"/>
          <w:b/>
        </w:rPr>
      </w:pPr>
    </w:p>
    <w:p w14:paraId="00317AB0" w14:textId="14A880B3" w:rsidR="006356C6" w:rsidRPr="00681EF8" w:rsidRDefault="006356C6" w:rsidP="00B64A95">
      <w:pPr>
        <w:spacing w:after="0" w:line="240" w:lineRule="auto"/>
        <w:jc w:val="both"/>
        <w:rPr>
          <w:rFonts w:ascii="Verdana" w:hAnsi="Verdana"/>
        </w:rPr>
      </w:pPr>
      <w:r w:rsidRPr="00681EF8">
        <w:rPr>
          <w:rFonts w:ascii="Verdana" w:hAnsi="Verdana"/>
          <w:b/>
        </w:rPr>
        <w:t xml:space="preserve">Artículo </w:t>
      </w:r>
      <w:r w:rsidR="006D3FF6" w:rsidRPr="00681EF8">
        <w:rPr>
          <w:rFonts w:ascii="Verdana" w:hAnsi="Verdana"/>
          <w:b/>
        </w:rPr>
        <w:t>10</w:t>
      </w:r>
      <w:r w:rsidR="00574F98" w:rsidRPr="00681EF8">
        <w:rPr>
          <w:rFonts w:ascii="Verdana" w:hAnsi="Verdana"/>
          <w:b/>
        </w:rPr>
        <w:t>º</w:t>
      </w:r>
      <w:r w:rsidRPr="00681EF8">
        <w:rPr>
          <w:rFonts w:ascii="Verdana" w:hAnsi="Verdana"/>
          <w:b/>
        </w:rPr>
        <w:t xml:space="preserve">. Cálculo de la probabilidad de pérdida del proceso. </w:t>
      </w:r>
      <w:r w:rsidRPr="00681EF8">
        <w:rPr>
          <w:rFonts w:ascii="Verdana" w:hAnsi="Verdana"/>
        </w:rPr>
        <w:t>Para cada proceso el/la apoderado/a debe calificar el riesgo de pérdida</w:t>
      </w:r>
      <w:r w:rsidRPr="00681EF8">
        <w:rPr>
          <w:rFonts w:ascii="Verdana" w:eastAsia="Times New Roman" w:hAnsi="Verdana" w:cs="Times New Roman"/>
          <w:lang w:eastAsia="es-CO"/>
        </w:rPr>
        <w:t xml:space="preserve"> </w:t>
      </w:r>
      <w:r w:rsidR="006326AD" w:rsidRPr="00681EF8">
        <w:rPr>
          <w:rFonts w:ascii="Verdana" w:hAnsi="Verdana"/>
        </w:rPr>
        <w:t xml:space="preserve">en la </w:t>
      </w:r>
      <w:r w:rsidR="00E930F6" w:rsidRPr="00681EF8">
        <w:rPr>
          <w:rFonts w:ascii="Verdana" w:hAnsi="Verdana"/>
        </w:rPr>
        <w:t>Herramienta de Ayuda</w:t>
      </w:r>
      <w:r w:rsidRPr="00681EF8">
        <w:rPr>
          <w:rFonts w:ascii="Verdana" w:hAnsi="Verdana"/>
        </w:rPr>
        <w:t>, utilizando los siguientes criterios y equivalencias:</w:t>
      </w:r>
    </w:p>
    <w:p w14:paraId="053C5442" w14:textId="77777777" w:rsidR="006356C6" w:rsidRPr="00681EF8" w:rsidRDefault="006356C6" w:rsidP="00B64A95">
      <w:pPr>
        <w:spacing w:after="0" w:line="240" w:lineRule="auto"/>
        <w:jc w:val="both"/>
        <w:rPr>
          <w:rFonts w:ascii="Verdana" w:hAnsi="Verdana"/>
          <w:b/>
        </w:rPr>
      </w:pPr>
    </w:p>
    <w:p w14:paraId="767922CB" w14:textId="7E1EEC60" w:rsidR="006356C6" w:rsidRPr="00681EF8" w:rsidRDefault="006356C6" w:rsidP="00B64A95">
      <w:pPr>
        <w:pStyle w:val="Prrafodelista"/>
        <w:numPr>
          <w:ilvl w:val="0"/>
          <w:numId w:val="24"/>
        </w:numPr>
        <w:spacing w:after="0" w:line="240" w:lineRule="auto"/>
        <w:jc w:val="both"/>
        <w:rPr>
          <w:rFonts w:ascii="Verdana" w:hAnsi="Verdana"/>
          <w:b/>
        </w:rPr>
      </w:pPr>
      <w:r w:rsidRPr="00681EF8">
        <w:rPr>
          <w:rFonts w:ascii="Verdana" w:hAnsi="Verdana"/>
          <w:b/>
        </w:rPr>
        <w:t>Riesgo de pérdida del proceso por relevancia jurídica de las razones de hecho y derecho expuestas por el demandante.</w:t>
      </w:r>
      <w:r w:rsidRPr="00681EF8">
        <w:rPr>
          <w:rFonts w:ascii="Verdana" w:hAnsi="Verdana"/>
        </w:rPr>
        <w:t xml:space="preserve"> Se relaciona con la relevancia jurídica y completitud de los hechos y normas en las que se fundamenta la demanda.</w:t>
      </w:r>
    </w:p>
    <w:p w14:paraId="495B30AD" w14:textId="77777777" w:rsidR="003C3743" w:rsidRPr="00681EF8" w:rsidRDefault="003C3743" w:rsidP="00B64A95">
      <w:pPr>
        <w:spacing w:after="0" w:line="240" w:lineRule="auto"/>
        <w:ind w:left="708"/>
        <w:jc w:val="both"/>
        <w:rPr>
          <w:rFonts w:ascii="Verdana" w:eastAsia="Times New Roman" w:hAnsi="Verdana" w:cs="Times New Roman"/>
          <w:lang w:eastAsia="es-CO"/>
        </w:rPr>
      </w:pPr>
    </w:p>
    <w:p w14:paraId="2038C483" w14:textId="65640686" w:rsidR="006356C6" w:rsidRPr="00681EF8" w:rsidRDefault="006356C6" w:rsidP="00B64A95">
      <w:pPr>
        <w:spacing w:after="0" w:line="240" w:lineRule="auto"/>
        <w:ind w:left="708"/>
        <w:jc w:val="both"/>
        <w:rPr>
          <w:rFonts w:ascii="Verdana" w:hAnsi="Verdana"/>
        </w:rPr>
      </w:pPr>
      <w:r w:rsidRPr="00681EF8">
        <w:rPr>
          <w:rFonts w:ascii="Verdana" w:hAnsi="Verdana"/>
        </w:rPr>
        <w:t>Alto: Existe relevancia jurídica y completitud en los hechos, normas, concepto de violación y/o criterio de imputación que sustentan las pretensiones del/la demandante.</w:t>
      </w:r>
    </w:p>
    <w:p w14:paraId="72A466E3" w14:textId="77777777" w:rsidR="003C3743" w:rsidRPr="00681EF8" w:rsidRDefault="003C3743" w:rsidP="00B64A95">
      <w:pPr>
        <w:spacing w:after="0" w:line="240" w:lineRule="auto"/>
        <w:ind w:left="708"/>
        <w:jc w:val="both"/>
        <w:rPr>
          <w:rFonts w:ascii="Verdana" w:eastAsia="Times New Roman" w:hAnsi="Verdana" w:cs="Times New Roman"/>
          <w:lang w:eastAsia="es-CO"/>
        </w:rPr>
      </w:pPr>
    </w:p>
    <w:p w14:paraId="3CD7A58A" w14:textId="4A672933" w:rsidR="006356C6" w:rsidRPr="00681EF8" w:rsidRDefault="006356C6" w:rsidP="00B64A95">
      <w:pPr>
        <w:spacing w:after="0" w:line="240" w:lineRule="auto"/>
        <w:ind w:left="708"/>
        <w:jc w:val="both"/>
        <w:rPr>
          <w:rFonts w:ascii="Verdana" w:hAnsi="Verdana"/>
        </w:rPr>
      </w:pPr>
      <w:r w:rsidRPr="00681EF8">
        <w:rPr>
          <w:rFonts w:ascii="Verdana" w:hAnsi="Verdana"/>
        </w:rPr>
        <w:t xml:space="preserve">Medio alto: existen normas, concepto de violación y/o criterio de imputación, pero no existen hechos ciertos y completos que sustenten las pretensiones del/la demandante. </w:t>
      </w:r>
    </w:p>
    <w:p w14:paraId="6E52689D" w14:textId="77777777" w:rsidR="003C3743" w:rsidRPr="00681EF8" w:rsidRDefault="003C3743" w:rsidP="00B64A95">
      <w:pPr>
        <w:spacing w:after="0" w:line="240" w:lineRule="auto"/>
        <w:ind w:left="708"/>
        <w:jc w:val="both"/>
        <w:rPr>
          <w:rFonts w:ascii="Verdana" w:eastAsia="Times New Roman" w:hAnsi="Verdana" w:cs="Times New Roman"/>
          <w:lang w:eastAsia="es-CO"/>
        </w:rPr>
      </w:pPr>
    </w:p>
    <w:p w14:paraId="37F671B4" w14:textId="280BF8BE" w:rsidR="006356C6" w:rsidRPr="00681EF8" w:rsidRDefault="006356C6" w:rsidP="00B64A95">
      <w:pPr>
        <w:spacing w:after="0" w:line="240" w:lineRule="auto"/>
        <w:ind w:left="708"/>
        <w:jc w:val="both"/>
        <w:rPr>
          <w:rFonts w:ascii="Verdana" w:hAnsi="Verdana"/>
        </w:rPr>
      </w:pPr>
      <w:r w:rsidRPr="00681EF8">
        <w:rPr>
          <w:rFonts w:ascii="Verdana" w:hAnsi="Verdana"/>
        </w:rPr>
        <w:t>Medio bajo: existen hechos ciertos y completos, pero no existen normas, concepto de violación y/o criterio de imputación que sustenten las pretensiones del/la demandante.</w:t>
      </w:r>
    </w:p>
    <w:p w14:paraId="6D1234AC" w14:textId="77777777" w:rsidR="003C3743" w:rsidRPr="00681EF8" w:rsidRDefault="003C3743" w:rsidP="00B64A95">
      <w:pPr>
        <w:spacing w:after="0" w:line="240" w:lineRule="auto"/>
        <w:ind w:left="708"/>
        <w:jc w:val="both"/>
        <w:rPr>
          <w:rFonts w:ascii="Verdana" w:eastAsia="Times New Roman" w:hAnsi="Verdana" w:cs="Times New Roman"/>
          <w:lang w:eastAsia="es-CO"/>
        </w:rPr>
      </w:pPr>
    </w:p>
    <w:p w14:paraId="45691C2D" w14:textId="6A8435D6" w:rsidR="00C22868" w:rsidRPr="00681EF8" w:rsidRDefault="006356C6" w:rsidP="00B64A95">
      <w:pPr>
        <w:spacing w:after="0" w:line="240" w:lineRule="auto"/>
        <w:ind w:left="708"/>
        <w:jc w:val="both"/>
        <w:rPr>
          <w:rFonts w:ascii="Verdana" w:hAnsi="Verdana"/>
        </w:rPr>
      </w:pPr>
      <w:r w:rsidRPr="00681EF8">
        <w:rPr>
          <w:rFonts w:ascii="Verdana" w:hAnsi="Verdana"/>
        </w:rPr>
        <w:t>Bajo: No existen hechos ni normas, ni concepto violación y/o criterio de imputación que sustenten las pretensiones del/la demandante.</w:t>
      </w:r>
    </w:p>
    <w:p w14:paraId="34C72330" w14:textId="77777777" w:rsidR="00F6668F" w:rsidRPr="00681EF8" w:rsidRDefault="00F6668F" w:rsidP="00B64A95">
      <w:pPr>
        <w:spacing w:after="0" w:line="240" w:lineRule="auto"/>
        <w:ind w:left="708"/>
        <w:jc w:val="both"/>
        <w:rPr>
          <w:rFonts w:ascii="Verdana" w:hAnsi="Verdana"/>
        </w:rPr>
      </w:pPr>
    </w:p>
    <w:p w14:paraId="13C23DFD" w14:textId="035F29CC" w:rsidR="006356C6" w:rsidRPr="00681EF8" w:rsidRDefault="006356C6" w:rsidP="00B64A95">
      <w:pPr>
        <w:pStyle w:val="Prrafodelista"/>
        <w:numPr>
          <w:ilvl w:val="0"/>
          <w:numId w:val="24"/>
        </w:numPr>
        <w:spacing w:after="0" w:line="240" w:lineRule="auto"/>
        <w:jc w:val="both"/>
        <w:rPr>
          <w:rFonts w:ascii="Verdana" w:hAnsi="Verdana"/>
        </w:rPr>
      </w:pPr>
      <w:r w:rsidRPr="00681EF8">
        <w:rPr>
          <w:rFonts w:ascii="Verdana" w:hAnsi="Verdana"/>
          <w:b/>
        </w:rPr>
        <w:t>Riesgos de pérdida del proceso asociados a la pertinencia, conducencia y utilidad de los medios probatorios que soportan la demanda</w:t>
      </w:r>
      <w:r w:rsidRPr="00681EF8">
        <w:rPr>
          <w:rFonts w:ascii="Verdana" w:hAnsi="Verdana"/>
        </w:rPr>
        <w:t>.</w:t>
      </w:r>
      <w:r w:rsidRPr="00681EF8">
        <w:rPr>
          <w:rFonts w:ascii="Verdana" w:hAnsi="Verdana"/>
          <w:b/>
        </w:rPr>
        <w:t xml:space="preserve"> </w:t>
      </w:r>
      <w:r w:rsidRPr="00681EF8">
        <w:rPr>
          <w:rFonts w:ascii="Verdana" w:hAnsi="Verdana"/>
        </w:rPr>
        <w:t>Se relaciona</w:t>
      </w:r>
      <w:r w:rsidRPr="00681EF8">
        <w:rPr>
          <w:rFonts w:ascii="Verdana" w:hAnsi="Verdana"/>
          <w:b/>
        </w:rPr>
        <w:t xml:space="preserve"> </w:t>
      </w:r>
      <w:r w:rsidRPr="00681EF8">
        <w:rPr>
          <w:rFonts w:ascii="Verdana" w:hAnsi="Verdana"/>
        </w:rPr>
        <w:t>con los medios probatorios que acompañan la demanda.</w:t>
      </w:r>
    </w:p>
    <w:p w14:paraId="1DD0BCCC" w14:textId="77777777" w:rsidR="006356C6" w:rsidRPr="00681EF8" w:rsidRDefault="006356C6" w:rsidP="00B64A95">
      <w:pPr>
        <w:pStyle w:val="Prrafodelista"/>
        <w:spacing w:after="0" w:line="240" w:lineRule="auto"/>
        <w:jc w:val="both"/>
        <w:rPr>
          <w:rFonts w:ascii="Verdana" w:hAnsi="Verdana"/>
        </w:rPr>
      </w:pPr>
    </w:p>
    <w:p w14:paraId="6BE7A630" w14:textId="77777777" w:rsidR="006356C6" w:rsidRPr="00681EF8" w:rsidRDefault="006356C6" w:rsidP="00B64A95">
      <w:pPr>
        <w:pStyle w:val="Prrafodelista"/>
        <w:spacing w:after="0" w:line="240" w:lineRule="auto"/>
        <w:ind w:hanging="11"/>
        <w:jc w:val="both"/>
        <w:rPr>
          <w:rFonts w:ascii="Verdana" w:hAnsi="Verdana"/>
        </w:rPr>
      </w:pPr>
      <w:r w:rsidRPr="00681EF8">
        <w:rPr>
          <w:rFonts w:ascii="Verdana" w:hAnsi="Verdana"/>
        </w:rPr>
        <w:t>Alto: El material probatorio aportado en la demanda es pertinente, conducente y útil para demostrar los hechos y pretensiones de la demanda; y suficiente para que el juez profiera sentencia anticipada.</w:t>
      </w:r>
    </w:p>
    <w:p w14:paraId="30DF759A" w14:textId="77777777" w:rsidR="006356C6" w:rsidRPr="00681EF8" w:rsidRDefault="006356C6" w:rsidP="00B64A95">
      <w:pPr>
        <w:pStyle w:val="Prrafodelista"/>
        <w:spacing w:after="0" w:line="240" w:lineRule="auto"/>
        <w:ind w:left="708"/>
        <w:jc w:val="both"/>
        <w:rPr>
          <w:rFonts w:ascii="Verdana" w:hAnsi="Verdana"/>
        </w:rPr>
      </w:pPr>
    </w:p>
    <w:p w14:paraId="07AF59A9" w14:textId="77777777" w:rsidR="006356C6" w:rsidRPr="00681EF8" w:rsidRDefault="006356C6" w:rsidP="00B64A95">
      <w:pPr>
        <w:pStyle w:val="Prrafodelista"/>
        <w:spacing w:after="0" w:line="240" w:lineRule="auto"/>
        <w:ind w:left="708"/>
        <w:jc w:val="both"/>
        <w:rPr>
          <w:rFonts w:ascii="Verdana" w:hAnsi="Verdana"/>
        </w:rPr>
      </w:pPr>
      <w:r w:rsidRPr="00681EF8">
        <w:rPr>
          <w:rFonts w:ascii="Verdana" w:hAnsi="Verdana"/>
        </w:rPr>
        <w:t xml:space="preserve">Medio alto: El material probatorio aportado </w:t>
      </w:r>
      <w:r w:rsidRPr="00681EF8">
        <w:rPr>
          <w:rFonts w:ascii="Verdana" w:hAnsi="Verdana"/>
          <w:lang w:val="es-MX"/>
        </w:rPr>
        <w:t>es pertinente, conducente y útil para demostrar los hechos y pretensiones de la demanda, pero no es suficiente para que el juez profiera sentencia anticipada</w:t>
      </w:r>
      <w:r w:rsidRPr="00681EF8">
        <w:rPr>
          <w:rFonts w:ascii="Verdana" w:hAnsi="Verdana"/>
        </w:rPr>
        <w:t>.</w:t>
      </w:r>
    </w:p>
    <w:p w14:paraId="6D0F4B29" w14:textId="77777777" w:rsidR="006356C6" w:rsidRPr="00681EF8" w:rsidRDefault="006356C6" w:rsidP="00B64A95">
      <w:pPr>
        <w:pStyle w:val="Prrafodelista"/>
        <w:spacing w:after="0" w:line="240" w:lineRule="auto"/>
        <w:ind w:left="708"/>
        <w:jc w:val="both"/>
        <w:rPr>
          <w:rFonts w:ascii="Verdana" w:hAnsi="Verdana"/>
        </w:rPr>
      </w:pPr>
    </w:p>
    <w:p w14:paraId="7EC34885" w14:textId="77777777" w:rsidR="006356C6" w:rsidRPr="00681EF8" w:rsidRDefault="006356C6" w:rsidP="00B64A95">
      <w:pPr>
        <w:pStyle w:val="Prrafodelista"/>
        <w:spacing w:after="0" w:line="240" w:lineRule="auto"/>
        <w:ind w:left="708"/>
        <w:jc w:val="both"/>
        <w:rPr>
          <w:rFonts w:ascii="Verdana" w:hAnsi="Verdana"/>
        </w:rPr>
      </w:pPr>
      <w:r w:rsidRPr="00681EF8">
        <w:rPr>
          <w:rFonts w:ascii="Verdana" w:hAnsi="Verdana"/>
        </w:rPr>
        <w:lastRenderedPageBreak/>
        <w:t>Medio Bajo: El material probatorio aportado en la demanda es inútil para demostrar los hechos y pretensiones de la demanda.</w:t>
      </w:r>
    </w:p>
    <w:p w14:paraId="24C2146C" w14:textId="77777777" w:rsidR="006356C6" w:rsidRPr="00681EF8" w:rsidRDefault="006356C6" w:rsidP="00B64A95">
      <w:pPr>
        <w:pStyle w:val="Prrafodelista"/>
        <w:spacing w:after="0" w:line="240" w:lineRule="auto"/>
        <w:ind w:left="708"/>
        <w:jc w:val="both"/>
        <w:rPr>
          <w:rFonts w:ascii="Verdana" w:hAnsi="Verdana"/>
        </w:rPr>
      </w:pPr>
    </w:p>
    <w:p w14:paraId="33F9A2BC" w14:textId="365210E6" w:rsidR="00E14D8A" w:rsidRPr="00681EF8" w:rsidRDefault="006356C6" w:rsidP="00B64A95">
      <w:pPr>
        <w:pStyle w:val="Prrafodelista"/>
        <w:spacing w:after="0" w:line="240" w:lineRule="auto"/>
        <w:ind w:left="708"/>
        <w:jc w:val="both"/>
        <w:rPr>
          <w:rFonts w:ascii="Verdana" w:hAnsi="Verdana"/>
        </w:rPr>
      </w:pPr>
      <w:r w:rsidRPr="00681EF8">
        <w:rPr>
          <w:rFonts w:ascii="Verdana" w:hAnsi="Verdana"/>
        </w:rPr>
        <w:t>Bajo: El material probatorio aportado en la demanda no es contundente, congruente y pertinente para demostrar los hechos y pretensiones de la demanda</w:t>
      </w:r>
      <w:r w:rsidR="00E14D8A" w:rsidRPr="00681EF8">
        <w:rPr>
          <w:rFonts w:ascii="Verdana" w:hAnsi="Verdana"/>
        </w:rPr>
        <w:t>.</w:t>
      </w:r>
    </w:p>
    <w:p w14:paraId="2ADF1067" w14:textId="77777777" w:rsidR="00E14D8A" w:rsidRPr="00681EF8" w:rsidRDefault="00E14D8A" w:rsidP="00B64A95">
      <w:pPr>
        <w:pStyle w:val="Prrafodelista"/>
        <w:spacing w:after="0" w:line="240" w:lineRule="auto"/>
        <w:ind w:left="708"/>
        <w:jc w:val="both"/>
        <w:rPr>
          <w:rFonts w:ascii="Verdana" w:hAnsi="Verdana"/>
        </w:rPr>
      </w:pPr>
    </w:p>
    <w:p w14:paraId="0D1C386A" w14:textId="74D32197" w:rsidR="006356C6" w:rsidRPr="00681EF8" w:rsidRDefault="006356C6" w:rsidP="00B64A95">
      <w:pPr>
        <w:pStyle w:val="Prrafodelista"/>
        <w:numPr>
          <w:ilvl w:val="0"/>
          <w:numId w:val="24"/>
        </w:numPr>
        <w:spacing w:after="0" w:line="240" w:lineRule="auto"/>
        <w:jc w:val="both"/>
        <w:rPr>
          <w:rFonts w:ascii="Verdana" w:hAnsi="Verdana"/>
        </w:rPr>
      </w:pPr>
      <w:r w:rsidRPr="00681EF8">
        <w:rPr>
          <w:rFonts w:ascii="Verdana" w:hAnsi="Verdana"/>
          <w:b/>
        </w:rPr>
        <w:t>Presencia de riesgos procesales y extrajudiciales.</w:t>
      </w:r>
      <w:r w:rsidRPr="00681EF8">
        <w:rPr>
          <w:rFonts w:ascii="Verdana" w:hAnsi="Verdana"/>
        </w:rPr>
        <w:t xml:space="preserve"> Se relaciona con los siguientes eventos que afectan la defensa del Estado:</w:t>
      </w:r>
    </w:p>
    <w:p w14:paraId="15E33B35" w14:textId="77777777" w:rsidR="003C3743" w:rsidRPr="00681EF8" w:rsidRDefault="003C3743" w:rsidP="00B64A95">
      <w:pPr>
        <w:spacing w:after="0" w:line="240" w:lineRule="auto"/>
        <w:ind w:left="708"/>
        <w:jc w:val="both"/>
        <w:rPr>
          <w:rFonts w:ascii="Verdana" w:eastAsia="Times New Roman" w:hAnsi="Verdana"/>
        </w:rPr>
      </w:pPr>
    </w:p>
    <w:p w14:paraId="0EACF627" w14:textId="6E7B93D5" w:rsidR="006356C6" w:rsidRPr="00681EF8" w:rsidRDefault="006356C6" w:rsidP="00B64A95">
      <w:pPr>
        <w:spacing w:after="0" w:line="240" w:lineRule="auto"/>
        <w:ind w:left="708"/>
        <w:jc w:val="both"/>
        <w:rPr>
          <w:rFonts w:ascii="Verdana" w:hAnsi="Verdana"/>
        </w:rPr>
      </w:pPr>
      <w:r w:rsidRPr="00681EF8">
        <w:rPr>
          <w:rFonts w:ascii="Verdana" w:hAnsi="Verdana"/>
        </w:rPr>
        <w:t>(a) Posición del/de la juez/a de conocimiento (Existencia de algún elemento que pueda afectar la decisión del juez en razón a su edad, origen regional, filiación política y/o religiosa, ideología, pertenencia a grupos socioculturales, intereses económicos, entre otros).</w:t>
      </w:r>
    </w:p>
    <w:p w14:paraId="79A536D8" w14:textId="77777777" w:rsidR="003C3743" w:rsidRPr="00681EF8" w:rsidRDefault="003C3743" w:rsidP="00B64A95">
      <w:pPr>
        <w:spacing w:after="0" w:line="240" w:lineRule="auto"/>
        <w:ind w:left="708"/>
        <w:jc w:val="both"/>
        <w:rPr>
          <w:rFonts w:ascii="Verdana" w:eastAsia="Times New Roman" w:hAnsi="Verdana" w:cs="Times New Roman"/>
          <w:lang w:eastAsia="es-CO"/>
        </w:rPr>
      </w:pPr>
    </w:p>
    <w:p w14:paraId="1C6C0020" w14:textId="4963183A" w:rsidR="006356C6" w:rsidRPr="00681EF8" w:rsidRDefault="006356C6" w:rsidP="00B64A95">
      <w:pPr>
        <w:spacing w:after="0" w:line="240" w:lineRule="auto"/>
        <w:ind w:left="708"/>
        <w:jc w:val="both"/>
        <w:rPr>
          <w:rFonts w:ascii="Verdana" w:hAnsi="Verdana"/>
        </w:rPr>
      </w:pPr>
      <w:r w:rsidRPr="00681EF8">
        <w:rPr>
          <w:rFonts w:ascii="Verdana" w:hAnsi="Verdana"/>
        </w:rPr>
        <w:t>(b) Presencia de medidas de protección transitoria a favor del/de la demandante como fallos de tutela y/o decreto de medidas cautelares.</w:t>
      </w:r>
    </w:p>
    <w:p w14:paraId="798A827D" w14:textId="77777777" w:rsidR="003C3743" w:rsidRPr="00681EF8" w:rsidRDefault="003C3743" w:rsidP="00B64A95">
      <w:pPr>
        <w:spacing w:after="0" w:line="240" w:lineRule="auto"/>
        <w:ind w:left="708"/>
        <w:jc w:val="both"/>
        <w:rPr>
          <w:rFonts w:ascii="Verdana" w:eastAsia="Times New Roman" w:hAnsi="Verdana" w:cs="Times New Roman"/>
          <w:lang w:eastAsia="es-CO"/>
        </w:rPr>
      </w:pPr>
    </w:p>
    <w:p w14:paraId="764D89D0" w14:textId="5235EB23" w:rsidR="006356C6" w:rsidRPr="00681EF8" w:rsidRDefault="006356C6" w:rsidP="00B64A95">
      <w:pPr>
        <w:spacing w:after="0" w:line="240" w:lineRule="auto"/>
        <w:ind w:left="708"/>
        <w:jc w:val="both"/>
        <w:rPr>
          <w:rFonts w:ascii="Verdana" w:hAnsi="Verdana"/>
        </w:rPr>
      </w:pPr>
      <w:r w:rsidRPr="00681EF8">
        <w:rPr>
          <w:rFonts w:ascii="Verdana" w:hAnsi="Verdana"/>
        </w:rPr>
        <w:t>(c) Sospecha de actos de corrupción.</w:t>
      </w:r>
    </w:p>
    <w:p w14:paraId="5AEAA567" w14:textId="77777777" w:rsidR="003C3743" w:rsidRPr="00681EF8" w:rsidRDefault="003C3743" w:rsidP="00B64A95">
      <w:pPr>
        <w:spacing w:after="0" w:line="240" w:lineRule="auto"/>
        <w:ind w:left="708"/>
        <w:jc w:val="both"/>
        <w:rPr>
          <w:rFonts w:ascii="Verdana" w:eastAsia="Times New Roman" w:hAnsi="Verdana" w:cs="Times New Roman"/>
          <w:lang w:eastAsia="es-CO"/>
        </w:rPr>
      </w:pPr>
    </w:p>
    <w:p w14:paraId="17ACE7A0" w14:textId="51BD0160" w:rsidR="006356C6" w:rsidRPr="00681EF8" w:rsidRDefault="006356C6" w:rsidP="00B64A95">
      <w:pPr>
        <w:spacing w:after="0" w:line="240" w:lineRule="auto"/>
        <w:ind w:left="708"/>
        <w:jc w:val="both"/>
        <w:rPr>
          <w:rFonts w:ascii="Verdana" w:hAnsi="Verdana"/>
        </w:rPr>
      </w:pPr>
      <w:r w:rsidRPr="00681EF8">
        <w:rPr>
          <w:rFonts w:ascii="Verdana" w:hAnsi="Verdana"/>
        </w:rPr>
        <w:t>(d) Potencialidad de que el litigio sea conocido por el Sistema Interamericano de Derechos de Humanos.</w:t>
      </w:r>
    </w:p>
    <w:p w14:paraId="60F4DF80" w14:textId="77777777" w:rsidR="003C3743" w:rsidRPr="00681EF8" w:rsidRDefault="003C3743" w:rsidP="00B64A95">
      <w:pPr>
        <w:spacing w:after="0" w:line="240" w:lineRule="auto"/>
        <w:ind w:left="708"/>
        <w:jc w:val="both"/>
        <w:rPr>
          <w:rFonts w:ascii="Verdana" w:eastAsia="Times New Roman" w:hAnsi="Verdana" w:cs="Times New Roman"/>
          <w:lang w:eastAsia="es-CO"/>
        </w:rPr>
      </w:pPr>
    </w:p>
    <w:p w14:paraId="5F3EB0BA" w14:textId="76D83EF9" w:rsidR="006356C6" w:rsidRPr="00681EF8" w:rsidRDefault="006356C6" w:rsidP="00B64A95">
      <w:pPr>
        <w:spacing w:after="0" w:line="240" w:lineRule="auto"/>
        <w:ind w:left="708"/>
        <w:jc w:val="both"/>
        <w:rPr>
          <w:rFonts w:ascii="Verdana" w:hAnsi="Verdana"/>
        </w:rPr>
      </w:pPr>
      <w:r w:rsidRPr="00681EF8">
        <w:rPr>
          <w:rFonts w:ascii="Verdana" w:hAnsi="Verdana"/>
        </w:rPr>
        <w:t>(e) Inminencia de revocatoria de fallo favorable o ratificación de fallo desfavorable en segunda instancia o recurso extraordinario.</w:t>
      </w:r>
    </w:p>
    <w:p w14:paraId="021A8B8A" w14:textId="77777777" w:rsidR="003C3743" w:rsidRPr="00681EF8" w:rsidRDefault="003C3743" w:rsidP="00B64A95">
      <w:pPr>
        <w:spacing w:after="0" w:line="240" w:lineRule="auto"/>
        <w:ind w:left="708"/>
        <w:jc w:val="both"/>
        <w:rPr>
          <w:rFonts w:ascii="Verdana" w:eastAsia="Times New Roman" w:hAnsi="Verdana" w:cs="Times New Roman"/>
          <w:lang w:eastAsia="es-CO"/>
        </w:rPr>
      </w:pPr>
    </w:p>
    <w:p w14:paraId="030EB3FA" w14:textId="2D2F13E2" w:rsidR="006356C6" w:rsidRPr="00681EF8" w:rsidRDefault="006356C6" w:rsidP="00B64A95">
      <w:pPr>
        <w:spacing w:after="0" w:line="240" w:lineRule="auto"/>
        <w:ind w:left="708"/>
        <w:jc w:val="both"/>
        <w:rPr>
          <w:rFonts w:ascii="Verdana" w:hAnsi="Verdana"/>
        </w:rPr>
      </w:pPr>
      <w:r w:rsidRPr="00681EF8">
        <w:rPr>
          <w:rFonts w:ascii="Verdana" w:hAnsi="Verdana"/>
        </w:rPr>
        <w:t>(f) Medidas de descongestión judicial.</w:t>
      </w:r>
    </w:p>
    <w:p w14:paraId="5DA5236A" w14:textId="77777777" w:rsidR="003C3743" w:rsidRPr="00681EF8" w:rsidRDefault="003C3743" w:rsidP="00B64A95">
      <w:pPr>
        <w:spacing w:after="0" w:line="240" w:lineRule="auto"/>
        <w:ind w:left="708"/>
        <w:jc w:val="both"/>
        <w:rPr>
          <w:rFonts w:ascii="Verdana" w:eastAsia="Times New Roman" w:hAnsi="Verdana" w:cs="Times New Roman"/>
          <w:lang w:eastAsia="es-CO"/>
        </w:rPr>
      </w:pPr>
    </w:p>
    <w:p w14:paraId="661B4094" w14:textId="4F67D6B8" w:rsidR="006356C6" w:rsidRPr="00681EF8" w:rsidRDefault="006356C6" w:rsidP="00B64A95">
      <w:pPr>
        <w:spacing w:after="0" w:line="240" w:lineRule="auto"/>
        <w:ind w:left="708"/>
        <w:jc w:val="both"/>
        <w:rPr>
          <w:rFonts w:ascii="Verdana" w:hAnsi="Verdana"/>
        </w:rPr>
      </w:pPr>
      <w:r w:rsidRPr="00681EF8">
        <w:rPr>
          <w:rFonts w:ascii="Verdana" w:hAnsi="Verdana"/>
        </w:rPr>
        <w:t>(g) Cambio del titular del despacho.</w:t>
      </w:r>
    </w:p>
    <w:p w14:paraId="19529AA2" w14:textId="77777777" w:rsidR="00352877" w:rsidRPr="00681EF8" w:rsidRDefault="00352877" w:rsidP="00B64A95">
      <w:pPr>
        <w:spacing w:after="0" w:line="240" w:lineRule="auto"/>
        <w:ind w:left="708"/>
        <w:jc w:val="both"/>
        <w:rPr>
          <w:rFonts w:ascii="Verdana" w:eastAsia="Times New Roman" w:hAnsi="Verdana" w:cs="Times New Roman"/>
          <w:lang w:eastAsia="es-CO"/>
        </w:rPr>
      </w:pPr>
    </w:p>
    <w:p w14:paraId="3E8967E7" w14:textId="2142C37F" w:rsidR="006356C6" w:rsidRPr="00681EF8" w:rsidRDefault="006356C6" w:rsidP="00B64A95">
      <w:pPr>
        <w:spacing w:after="0" w:line="240" w:lineRule="auto"/>
        <w:ind w:left="708"/>
        <w:jc w:val="both"/>
        <w:rPr>
          <w:rFonts w:ascii="Verdana" w:hAnsi="Verdana"/>
        </w:rPr>
      </w:pPr>
      <w:r w:rsidRPr="00681EF8">
        <w:rPr>
          <w:rFonts w:ascii="Verdana" w:hAnsi="Verdana"/>
        </w:rPr>
        <w:t>Con base en la valoración anterior, la calificación de riesgo de este criterio debe ser realizada así:</w:t>
      </w:r>
    </w:p>
    <w:p w14:paraId="3978D572" w14:textId="77777777" w:rsidR="00352877" w:rsidRPr="00681EF8" w:rsidRDefault="00352877" w:rsidP="00B64A95">
      <w:pPr>
        <w:spacing w:after="0" w:line="240" w:lineRule="auto"/>
        <w:ind w:left="708"/>
        <w:jc w:val="both"/>
        <w:rPr>
          <w:rFonts w:ascii="Verdana" w:eastAsia="Times New Roman" w:hAnsi="Verdana" w:cs="Times New Roman"/>
          <w:lang w:eastAsia="es-CO"/>
        </w:rPr>
      </w:pPr>
    </w:p>
    <w:p w14:paraId="3863D63F" w14:textId="1102F4DF" w:rsidR="006356C6" w:rsidRPr="00681EF8" w:rsidRDefault="006356C6" w:rsidP="00B64A95">
      <w:pPr>
        <w:spacing w:after="0" w:line="240" w:lineRule="auto"/>
        <w:ind w:left="708"/>
        <w:jc w:val="both"/>
        <w:rPr>
          <w:rFonts w:ascii="Verdana" w:hAnsi="Verdana"/>
        </w:rPr>
      </w:pPr>
      <w:r w:rsidRPr="00681EF8">
        <w:rPr>
          <w:rFonts w:ascii="Verdana" w:hAnsi="Verdana"/>
        </w:rPr>
        <w:t xml:space="preserve">Alto: Cuando se presentan alguno de los eventos (a), (b) (c), y/o (d). </w:t>
      </w:r>
    </w:p>
    <w:p w14:paraId="2515305C" w14:textId="77777777" w:rsidR="00352877" w:rsidRPr="00681EF8" w:rsidRDefault="00352877" w:rsidP="00B64A95">
      <w:pPr>
        <w:spacing w:after="0" w:line="240" w:lineRule="auto"/>
        <w:ind w:left="708"/>
        <w:jc w:val="both"/>
        <w:rPr>
          <w:rFonts w:ascii="Verdana" w:eastAsia="Times New Roman" w:hAnsi="Verdana" w:cs="Times New Roman"/>
          <w:lang w:eastAsia="es-CO"/>
        </w:rPr>
      </w:pPr>
    </w:p>
    <w:p w14:paraId="691EF3BE" w14:textId="6BA1465C" w:rsidR="006356C6" w:rsidRPr="00681EF8" w:rsidRDefault="006356C6" w:rsidP="00B64A95">
      <w:pPr>
        <w:spacing w:after="0" w:line="240" w:lineRule="auto"/>
        <w:ind w:left="708"/>
        <w:jc w:val="both"/>
        <w:rPr>
          <w:rFonts w:ascii="Verdana" w:hAnsi="Verdana"/>
        </w:rPr>
      </w:pPr>
      <w:r w:rsidRPr="00681EF8">
        <w:rPr>
          <w:rFonts w:ascii="Verdana" w:hAnsi="Verdana"/>
        </w:rPr>
        <w:t>Medio Alto: Cuando se presenta solamente el evento (e).</w:t>
      </w:r>
    </w:p>
    <w:p w14:paraId="7545F9D8" w14:textId="77777777" w:rsidR="00352877" w:rsidRPr="00681EF8" w:rsidRDefault="00352877" w:rsidP="00B64A95">
      <w:pPr>
        <w:spacing w:after="0" w:line="240" w:lineRule="auto"/>
        <w:ind w:left="708"/>
        <w:jc w:val="both"/>
        <w:rPr>
          <w:rFonts w:ascii="Verdana" w:eastAsia="Times New Roman" w:hAnsi="Verdana" w:cs="Times New Roman"/>
          <w:lang w:eastAsia="es-CO"/>
        </w:rPr>
      </w:pPr>
    </w:p>
    <w:p w14:paraId="6379BD74" w14:textId="38ECF37E" w:rsidR="006356C6" w:rsidRPr="00681EF8" w:rsidRDefault="006356C6" w:rsidP="00B64A95">
      <w:pPr>
        <w:spacing w:after="0" w:line="240" w:lineRule="auto"/>
        <w:ind w:left="708"/>
        <w:jc w:val="both"/>
        <w:rPr>
          <w:rFonts w:ascii="Verdana" w:hAnsi="Verdana"/>
        </w:rPr>
      </w:pPr>
      <w:r w:rsidRPr="00681EF8">
        <w:rPr>
          <w:rFonts w:ascii="Verdana" w:hAnsi="Verdana"/>
        </w:rPr>
        <w:t>Medio Bajo: Cuando se presenta el evento (f) y/o el evento (g).</w:t>
      </w:r>
    </w:p>
    <w:p w14:paraId="37AF1E03" w14:textId="77777777" w:rsidR="00352877" w:rsidRPr="00681EF8" w:rsidRDefault="00352877" w:rsidP="00B64A95">
      <w:pPr>
        <w:spacing w:after="0" w:line="240" w:lineRule="auto"/>
        <w:ind w:left="708"/>
        <w:rPr>
          <w:rFonts w:ascii="Verdana" w:eastAsia="Times New Roman" w:hAnsi="Verdana" w:cs="Times New Roman"/>
          <w:lang w:eastAsia="es-CO"/>
        </w:rPr>
      </w:pPr>
    </w:p>
    <w:p w14:paraId="71F50CA2" w14:textId="57C08C22" w:rsidR="00352877" w:rsidRPr="00681EF8" w:rsidRDefault="006356C6" w:rsidP="00B64A95">
      <w:pPr>
        <w:spacing w:after="0" w:line="240" w:lineRule="auto"/>
        <w:ind w:left="708"/>
        <w:rPr>
          <w:rFonts w:ascii="Verdana" w:hAnsi="Verdana"/>
        </w:rPr>
      </w:pPr>
      <w:r w:rsidRPr="00681EF8">
        <w:rPr>
          <w:rFonts w:ascii="Verdana" w:hAnsi="Verdana"/>
        </w:rPr>
        <w:t>Bajo: Cuando no se presenta ningún evento.</w:t>
      </w:r>
    </w:p>
    <w:p w14:paraId="1F9596DE" w14:textId="77777777" w:rsidR="00352877" w:rsidRPr="00681EF8" w:rsidRDefault="00352877" w:rsidP="00B64A95">
      <w:pPr>
        <w:spacing w:after="0" w:line="240" w:lineRule="auto"/>
        <w:ind w:left="708"/>
        <w:rPr>
          <w:rFonts w:ascii="Verdana" w:hAnsi="Verdana"/>
        </w:rPr>
      </w:pPr>
    </w:p>
    <w:p w14:paraId="1381B53C" w14:textId="62BC9DAE" w:rsidR="006356C6" w:rsidRPr="00681EF8" w:rsidRDefault="006356C6" w:rsidP="00B64A95">
      <w:pPr>
        <w:pStyle w:val="Prrafodelista"/>
        <w:numPr>
          <w:ilvl w:val="0"/>
          <w:numId w:val="24"/>
        </w:numPr>
        <w:spacing w:after="0" w:line="240" w:lineRule="auto"/>
        <w:jc w:val="both"/>
        <w:rPr>
          <w:rFonts w:ascii="Verdana" w:hAnsi="Verdana"/>
          <w:b/>
        </w:rPr>
      </w:pPr>
      <w:r w:rsidRPr="00681EF8">
        <w:rPr>
          <w:rFonts w:ascii="Verdana" w:hAnsi="Verdana"/>
          <w:b/>
        </w:rPr>
        <w:t>Riesgo de pérdida del proceso asociado al precedente jurisprudencial.</w:t>
      </w:r>
      <w:r w:rsidRPr="00681EF8">
        <w:rPr>
          <w:rFonts w:ascii="Verdana" w:hAnsi="Verdana"/>
        </w:rPr>
        <w:t xml:space="preserve"> Muestra la incidencia del precedente jurisprudencial respecto de un proceso afirmando la posición de la parte demandante</w:t>
      </w:r>
      <w:r w:rsidRPr="00681EF8">
        <w:rPr>
          <w:rFonts w:ascii="Verdana" w:hAnsi="Verdana"/>
          <w:b/>
        </w:rPr>
        <w:t>.</w:t>
      </w:r>
    </w:p>
    <w:p w14:paraId="72127378" w14:textId="77777777" w:rsidR="006356C6" w:rsidRPr="00681EF8" w:rsidRDefault="006356C6" w:rsidP="00B64A95">
      <w:pPr>
        <w:pStyle w:val="Prrafodelista"/>
        <w:spacing w:after="0" w:line="240" w:lineRule="auto"/>
        <w:ind w:left="0"/>
        <w:jc w:val="both"/>
        <w:rPr>
          <w:rFonts w:ascii="Verdana" w:hAnsi="Verdana"/>
        </w:rPr>
      </w:pPr>
    </w:p>
    <w:p w14:paraId="48E4B708" w14:textId="77777777" w:rsidR="006356C6" w:rsidRPr="00681EF8" w:rsidRDefault="006356C6" w:rsidP="00B64A95">
      <w:pPr>
        <w:pStyle w:val="Prrafodelista"/>
        <w:spacing w:after="0" w:line="240" w:lineRule="auto"/>
        <w:ind w:left="708"/>
        <w:jc w:val="both"/>
        <w:rPr>
          <w:rFonts w:ascii="Verdana" w:hAnsi="Verdana"/>
        </w:rPr>
      </w:pPr>
      <w:r w:rsidRPr="00681EF8">
        <w:rPr>
          <w:rFonts w:ascii="Verdana" w:hAnsi="Verdana"/>
        </w:rPr>
        <w:t>Alto: Existe suficiente y/o reiterado precedente jurisprudencial que soporta fallos desfavorables para los intereses del Estado; principalmente sentencias de unificación y/o constitucionalidad.</w:t>
      </w:r>
    </w:p>
    <w:p w14:paraId="094E923D" w14:textId="77777777" w:rsidR="006356C6" w:rsidRPr="00681EF8" w:rsidRDefault="006356C6" w:rsidP="00B64A95">
      <w:pPr>
        <w:pStyle w:val="Prrafodelista"/>
        <w:spacing w:after="0" w:line="240" w:lineRule="auto"/>
        <w:ind w:left="708"/>
        <w:jc w:val="both"/>
        <w:rPr>
          <w:rFonts w:ascii="Verdana" w:hAnsi="Verdana"/>
        </w:rPr>
      </w:pPr>
    </w:p>
    <w:p w14:paraId="264CE9F4" w14:textId="77777777" w:rsidR="006356C6" w:rsidRPr="00681EF8" w:rsidRDefault="006356C6" w:rsidP="00B64A95">
      <w:pPr>
        <w:pStyle w:val="Prrafodelista"/>
        <w:spacing w:after="0" w:line="240" w:lineRule="auto"/>
        <w:ind w:left="708"/>
        <w:jc w:val="both"/>
        <w:rPr>
          <w:rFonts w:ascii="Verdana" w:hAnsi="Verdana"/>
        </w:rPr>
      </w:pPr>
      <w:r w:rsidRPr="00681EF8">
        <w:rPr>
          <w:rFonts w:ascii="Verdana" w:hAnsi="Verdana"/>
        </w:rPr>
        <w:t>Medio Alto: Respecto de la causa o subcausa objeto de litigio, se tiene conocimiento de que se han presentado al menos tres fallos de casos similares en un mismo sentido que podrían definir líneas y tendencias jurisprudenciales desfavorables para los intereses del Estado.</w:t>
      </w:r>
    </w:p>
    <w:p w14:paraId="6FB80D87" w14:textId="77777777" w:rsidR="006356C6" w:rsidRPr="00681EF8" w:rsidRDefault="006356C6" w:rsidP="00B64A95">
      <w:pPr>
        <w:pStyle w:val="Prrafodelista"/>
        <w:spacing w:after="0" w:line="240" w:lineRule="auto"/>
        <w:ind w:left="708"/>
        <w:jc w:val="both"/>
        <w:rPr>
          <w:rFonts w:ascii="Verdana" w:hAnsi="Verdana"/>
        </w:rPr>
      </w:pPr>
    </w:p>
    <w:p w14:paraId="02EBF6B9" w14:textId="77777777" w:rsidR="006356C6" w:rsidRPr="00681EF8" w:rsidRDefault="006356C6" w:rsidP="00B64A95">
      <w:pPr>
        <w:pStyle w:val="Prrafodelista"/>
        <w:spacing w:after="0" w:line="240" w:lineRule="auto"/>
        <w:ind w:left="708"/>
        <w:jc w:val="both"/>
        <w:rPr>
          <w:rFonts w:ascii="Verdana" w:hAnsi="Verdana"/>
        </w:rPr>
      </w:pPr>
      <w:r w:rsidRPr="00681EF8">
        <w:rPr>
          <w:rFonts w:ascii="Verdana" w:hAnsi="Verdana"/>
        </w:rPr>
        <w:t>Medio Bajo: Respecto de la causa o subcausa objeto de litigio, se han presentado menos de tres fallos de casos similares desfavorables para los intereses del Estado.</w:t>
      </w:r>
    </w:p>
    <w:p w14:paraId="3164C24B" w14:textId="77777777" w:rsidR="006356C6" w:rsidRPr="00681EF8" w:rsidRDefault="006356C6" w:rsidP="00B64A95">
      <w:pPr>
        <w:pStyle w:val="Prrafodelista"/>
        <w:spacing w:after="0" w:line="240" w:lineRule="auto"/>
        <w:ind w:left="708"/>
        <w:jc w:val="both"/>
        <w:rPr>
          <w:rFonts w:ascii="Verdana" w:hAnsi="Verdana"/>
        </w:rPr>
      </w:pPr>
    </w:p>
    <w:p w14:paraId="017E7BBD" w14:textId="77777777" w:rsidR="006356C6" w:rsidRPr="00681EF8" w:rsidRDefault="006356C6" w:rsidP="00B64A95">
      <w:pPr>
        <w:pStyle w:val="Prrafodelista"/>
        <w:spacing w:after="0" w:line="240" w:lineRule="auto"/>
        <w:ind w:left="708"/>
        <w:rPr>
          <w:rFonts w:ascii="Verdana" w:hAnsi="Verdana"/>
        </w:rPr>
      </w:pPr>
      <w:r w:rsidRPr="00681EF8">
        <w:rPr>
          <w:rFonts w:ascii="Verdana" w:hAnsi="Verdana"/>
        </w:rPr>
        <w:t xml:space="preserve">Bajo: No existe ningún precedente jurisprudencial, respecto de la causa o subcausa objeto de litigio, o el precedente existente es favorable a los </w:t>
      </w:r>
      <w:r w:rsidRPr="00681EF8">
        <w:rPr>
          <w:rFonts w:ascii="Verdana" w:hAnsi="Verdana"/>
        </w:rPr>
        <w:lastRenderedPageBreak/>
        <w:t>intereses del Estado.</w:t>
      </w:r>
      <w:r w:rsidRPr="00681EF8">
        <w:rPr>
          <w:rFonts w:ascii="Verdana" w:hAnsi="Verdana"/>
        </w:rPr>
        <w:br/>
      </w:r>
    </w:p>
    <w:p w14:paraId="5FCA4A9B" w14:textId="15874ED4" w:rsidR="006356C6" w:rsidRPr="00681EF8" w:rsidRDefault="006356C6" w:rsidP="00B64A95">
      <w:pPr>
        <w:spacing w:after="0" w:line="240" w:lineRule="auto"/>
        <w:jc w:val="both"/>
        <w:rPr>
          <w:rFonts w:ascii="Verdana" w:hAnsi="Verdana"/>
        </w:rPr>
      </w:pPr>
      <w:r w:rsidRPr="00681EF8">
        <w:rPr>
          <w:rFonts w:ascii="Verdana" w:hAnsi="Verdana"/>
          <w:b/>
        </w:rPr>
        <w:t>Parágrafo:</w:t>
      </w:r>
      <w:r w:rsidRPr="00681EF8">
        <w:rPr>
          <w:rFonts w:ascii="Verdana" w:hAnsi="Verdana"/>
        </w:rPr>
        <w:t xml:space="preserve"> Después de realizar la calificación de los cuatro criterios</w:t>
      </w:r>
      <w:r w:rsidR="006326AD" w:rsidRPr="00681EF8">
        <w:rPr>
          <w:rFonts w:ascii="Verdana" w:hAnsi="Verdana"/>
        </w:rPr>
        <w:t xml:space="preserve">, la </w:t>
      </w:r>
      <w:r w:rsidR="00E930F6" w:rsidRPr="00681EF8">
        <w:rPr>
          <w:rFonts w:ascii="Verdana" w:hAnsi="Verdana"/>
        </w:rPr>
        <w:t>Herramienta de Ayuda</w:t>
      </w:r>
      <w:r w:rsidRPr="00681EF8">
        <w:rPr>
          <w:rFonts w:ascii="Verdana" w:hAnsi="Verdana"/>
        </w:rPr>
        <w:t xml:space="preserve"> arrojará un porcentaje con la probabilidad de pérdida del proceso.</w:t>
      </w:r>
    </w:p>
    <w:p w14:paraId="6E9CFF49" w14:textId="77777777" w:rsidR="006356C6" w:rsidRPr="00681EF8" w:rsidRDefault="006356C6" w:rsidP="00B64A95">
      <w:pPr>
        <w:spacing w:after="0" w:line="240" w:lineRule="auto"/>
        <w:jc w:val="both"/>
        <w:rPr>
          <w:rFonts w:ascii="Verdana" w:hAnsi="Verdana"/>
          <w:b/>
        </w:rPr>
      </w:pPr>
    </w:p>
    <w:p w14:paraId="17FA91B4" w14:textId="45EE2BB7" w:rsidR="006356C6" w:rsidRPr="00681EF8" w:rsidRDefault="006356C6" w:rsidP="00B64A95">
      <w:pPr>
        <w:spacing w:after="0" w:line="240" w:lineRule="auto"/>
        <w:jc w:val="both"/>
        <w:rPr>
          <w:rFonts w:ascii="Verdana" w:hAnsi="Verdana"/>
        </w:rPr>
      </w:pPr>
      <w:bookmarkStart w:id="6" w:name="_Hlk124406784"/>
      <w:r w:rsidRPr="00681EF8">
        <w:rPr>
          <w:rFonts w:ascii="Verdana" w:hAnsi="Verdana"/>
          <w:b/>
        </w:rPr>
        <w:t xml:space="preserve">Artículo </w:t>
      </w:r>
      <w:r w:rsidR="00574F98" w:rsidRPr="00681EF8">
        <w:rPr>
          <w:rFonts w:ascii="Verdana" w:hAnsi="Verdana"/>
          <w:b/>
        </w:rPr>
        <w:t>1</w:t>
      </w:r>
      <w:r w:rsidR="006D3FF6" w:rsidRPr="00681EF8">
        <w:rPr>
          <w:rFonts w:ascii="Verdana" w:hAnsi="Verdana"/>
          <w:b/>
        </w:rPr>
        <w:t>1</w:t>
      </w:r>
      <w:r w:rsidR="00574F98" w:rsidRPr="00681EF8">
        <w:rPr>
          <w:rFonts w:ascii="Verdana" w:hAnsi="Verdana"/>
          <w:b/>
        </w:rPr>
        <w:t>º</w:t>
      </w:r>
      <w:r w:rsidRPr="00681EF8">
        <w:rPr>
          <w:rFonts w:ascii="Verdana" w:hAnsi="Verdana"/>
          <w:b/>
        </w:rPr>
        <w:t xml:space="preserve">. </w:t>
      </w:r>
      <w:bookmarkStart w:id="7" w:name="_Hlk120627141"/>
      <w:r w:rsidRPr="00681EF8">
        <w:rPr>
          <w:rFonts w:ascii="Verdana" w:hAnsi="Verdana"/>
          <w:b/>
        </w:rPr>
        <w:t>Cálculo del valor futuro y presente del valor total de las pretensi</w:t>
      </w:r>
      <w:bookmarkEnd w:id="7"/>
      <w:r w:rsidRPr="00681EF8">
        <w:rPr>
          <w:rFonts w:ascii="Verdana" w:hAnsi="Verdana"/>
          <w:b/>
        </w:rPr>
        <w:t xml:space="preserve">ones. </w:t>
      </w:r>
      <w:r w:rsidRPr="00681EF8">
        <w:rPr>
          <w:rFonts w:ascii="Verdana" w:hAnsi="Verdana"/>
        </w:rPr>
        <w:t xml:space="preserve">Para calcular el valor futuro y presente del valor total de las pretensiones, el/la apoderado/a del proceso debe atender lo siguiente: </w:t>
      </w:r>
    </w:p>
    <w:p w14:paraId="02B45560" w14:textId="77777777" w:rsidR="006356C6" w:rsidRPr="00681EF8" w:rsidRDefault="006356C6" w:rsidP="00B64A95">
      <w:pPr>
        <w:spacing w:after="0" w:line="240" w:lineRule="auto"/>
        <w:jc w:val="both"/>
        <w:rPr>
          <w:rFonts w:ascii="Verdana" w:hAnsi="Verdana"/>
        </w:rPr>
      </w:pPr>
    </w:p>
    <w:p w14:paraId="5B3BF314" w14:textId="3C1191A1" w:rsidR="006356C6" w:rsidRPr="00681EF8" w:rsidRDefault="006356C6" w:rsidP="00B64A95">
      <w:pPr>
        <w:pStyle w:val="Prrafodelista"/>
        <w:numPr>
          <w:ilvl w:val="0"/>
          <w:numId w:val="28"/>
        </w:numPr>
        <w:spacing w:after="0" w:line="240" w:lineRule="auto"/>
        <w:rPr>
          <w:rFonts w:ascii="Verdana" w:hAnsi="Verdana"/>
        </w:rPr>
      </w:pPr>
      <w:r w:rsidRPr="00681EF8">
        <w:rPr>
          <w:rFonts w:ascii="Verdana" w:hAnsi="Verdana"/>
        </w:rPr>
        <w:t xml:space="preserve">Indexar el valor de las pretensiones ajustadas (conforme a lo indicado en el artículo </w:t>
      </w:r>
      <w:r w:rsidR="009A460C" w:rsidRPr="00681EF8">
        <w:rPr>
          <w:rFonts w:ascii="Verdana" w:hAnsi="Verdana"/>
        </w:rPr>
        <w:t>9</w:t>
      </w:r>
      <w:r w:rsidRPr="00681EF8">
        <w:rPr>
          <w:rFonts w:ascii="Verdana" w:hAnsi="Verdana"/>
        </w:rPr>
        <w:t>), y expresar el valor anterior en valor presente neto.</w:t>
      </w:r>
    </w:p>
    <w:p w14:paraId="7540EA39" w14:textId="77777777" w:rsidR="00352877" w:rsidRPr="00681EF8" w:rsidRDefault="00352877" w:rsidP="00B64A95">
      <w:pPr>
        <w:spacing w:after="0" w:line="240" w:lineRule="auto"/>
        <w:ind w:left="708"/>
        <w:jc w:val="both"/>
        <w:rPr>
          <w:rFonts w:ascii="Verdana" w:hAnsi="Verdana" w:cs="Times New Roman"/>
        </w:rPr>
      </w:pPr>
    </w:p>
    <w:p w14:paraId="7DFFB7C5" w14:textId="48C98004" w:rsidR="006356C6" w:rsidRPr="00681EF8" w:rsidRDefault="006356C6" w:rsidP="00B64A95">
      <w:pPr>
        <w:spacing w:after="0" w:line="240" w:lineRule="auto"/>
        <w:ind w:left="708"/>
        <w:jc w:val="both"/>
        <w:rPr>
          <w:rFonts w:ascii="Verdana" w:hAnsi="Verdana"/>
        </w:rPr>
      </w:pPr>
      <w:r w:rsidRPr="00681EF8">
        <w:rPr>
          <w:rFonts w:ascii="Verdana" w:hAnsi="Verdana"/>
        </w:rPr>
        <w:t>Con el fin de indexar el valor de las pretensiones de la demanda a la fecha actual, el/la apoderado/a debe dividir el IPC certificado por el DANE para el mes inmediatamente anterior a la fecha presente, entre el IPC certificado por el DANE para el mes en el cual se presentó la demanda. La cifra resultante se multiplica por el valor de las pretensiones que se pretende actualizar. El resultado es el valor indexado de las pretensiones de la demanda. La siguiente ecuación resume este procedimiento.</w:t>
      </w:r>
    </w:p>
    <w:p w14:paraId="372469D2" w14:textId="77777777" w:rsidR="00C22868" w:rsidRPr="00681EF8" w:rsidRDefault="00C22868" w:rsidP="00B64A95">
      <w:pPr>
        <w:spacing w:after="0" w:line="240" w:lineRule="auto"/>
        <w:ind w:left="708"/>
        <w:jc w:val="both"/>
        <w:rPr>
          <w:rFonts w:ascii="Verdana" w:hAnsi="Verdana"/>
        </w:rPr>
      </w:pPr>
    </w:p>
    <w:p w14:paraId="10A44A7D" w14:textId="77777777" w:rsidR="00C22868" w:rsidRPr="00681EF8" w:rsidRDefault="00C22868" w:rsidP="00B64A95">
      <w:pPr>
        <w:spacing w:after="0" w:line="240" w:lineRule="auto"/>
        <w:ind w:left="708"/>
        <w:jc w:val="both"/>
        <w:rPr>
          <w:rFonts w:ascii="Verdana" w:hAnsi="Verdana"/>
        </w:rPr>
      </w:pPr>
    </w:p>
    <w:p w14:paraId="5639FD19" w14:textId="2CD12E9E" w:rsidR="006356C6" w:rsidRPr="00681EF8" w:rsidRDefault="006356C6" w:rsidP="00B64A95">
      <w:pPr>
        <w:spacing w:after="0" w:line="240" w:lineRule="auto"/>
        <w:jc w:val="both"/>
        <w:rPr>
          <w:rFonts w:ascii="Verdana" w:hAnsi="Verdana"/>
        </w:rPr>
      </w:pPr>
      <m:oMathPara>
        <m:oMath>
          <m:r>
            <w:rPr>
              <w:rFonts w:ascii="Cambria Math" w:eastAsia="Times New Roman" w:hAnsi="Cambria Math" w:cs="Times New Roman"/>
              <w:lang w:eastAsia="es-CO"/>
            </w:rPr>
            <m:t xml:space="preserve">Valor de las pretensiones indexado=valor de las pretensiones ajustadas </m:t>
          </m:r>
          <m:r>
            <m:rPr>
              <m:sty m:val="bi"/>
            </m:rPr>
            <w:rPr>
              <w:rFonts w:ascii="Cambria Math" w:eastAsia="Times New Roman" w:hAnsi="Cambria Math" w:cs="Times New Roman"/>
              <w:lang w:eastAsia="es-CO"/>
            </w:rPr>
            <m:t>x</m:t>
          </m:r>
          <m:r>
            <w:rPr>
              <w:rFonts w:ascii="Cambria Math" w:eastAsia="Times New Roman" w:hAnsi="Cambria Math" w:cs="Times New Roman"/>
              <w:lang w:eastAsia="es-CO"/>
            </w:rPr>
            <m:t xml:space="preserve"> </m:t>
          </m:r>
          <m:f>
            <m:fPr>
              <m:ctrlPr>
                <w:rPr>
                  <w:rFonts w:ascii="Cambria Math" w:eastAsia="Times New Roman" w:hAnsi="Cambria Math" w:cs="Times New Roman"/>
                  <w:i/>
                  <w:lang w:eastAsia="es-CO"/>
                </w:rPr>
              </m:ctrlPr>
            </m:fPr>
            <m:num>
              <m:r>
                <w:rPr>
                  <w:rFonts w:ascii="Cambria Math" w:eastAsia="Times New Roman" w:hAnsi="Cambria Math" w:cs="Times New Roman"/>
                  <w:lang w:eastAsia="es-CO"/>
                </w:rPr>
                <m:t>IPC final</m:t>
              </m:r>
            </m:num>
            <m:den>
              <m:r>
                <w:rPr>
                  <w:rFonts w:ascii="Cambria Math" w:eastAsia="Times New Roman" w:hAnsi="Cambria Math" w:cs="Times New Roman"/>
                  <w:lang w:eastAsia="es-CO"/>
                </w:rPr>
                <m:t>IPC inicial</m:t>
              </m:r>
            </m:den>
          </m:f>
          <m:r>
            <m:rPr>
              <m:sty m:val="p"/>
            </m:rPr>
            <w:rPr>
              <w:rFonts w:ascii="Cambria Math" w:hAnsi="Cambria Math" w:cs="Times New Roman"/>
            </w:rPr>
            <w:br/>
          </m:r>
        </m:oMath>
      </m:oMathPara>
    </w:p>
    <w:p w14:paraId="31D2E309" w14:textId="77777777" w:rsidR="00C22868" w:rsidRPr="00681EF8" w:rsidRDefault="00C22868" w:rsidP="00B64A95">
      <w:pPr>
        <w:spacing w:after="0" w:line="240" w:lineRule="auto"/>
        <w:jc w:val="both"/>
        <w:rPr>
          <w:rFonts w:ascii="Verdana" w:hAnsi="Verdana"/>
        </w:rPr>
      </w:pPr>
    </w:p>
    <w:p w14:paraId="3492ACE7" w14:textId="77777777" w:rsidR="00C22868" w:rsidRPr="00681EF8" w:rsidRDefault="00C22868" w:rsidP="00B64A95">
      <w:pPr>
        <w:spacing w:after="0" w:line="240" w:lineRule="auto"/>
        <w:jc w:val="both"/>
        <w:rPr>
          <w:rFonts w:ascii="Verdana" w:hAnsi="Verdana"/>
        </w:rPr>
      </w:pPr>
    </w:p>
    <w:p w14:paraId="09AF7DBB" w14:textId="78FA17EA" w:rsidR="006356C6" w:rsidRPr="00681EF8" w:rsidRDefault="006356C6" w:rsidP="00B64A95">
      <w:pPr>
        <w:pStyle w:val="Prrafodelista"/>
        <w:numPr>
          <w:ilvl w:val="0"/>
          <w:numId w:val="28"/>
        </w:numPr>
        <w:spacing w:after="0" w:line="240" w:lineRule="auto"/>
        <w:jc w:val="both"/>
        <w:rPr>
          <w:rFonts w:ascii="Verdana" w:hAnsi="Verdana"/>
        </w:rPr>
      </w:pPr>
      <w:r w:rsidRPr="00681EF8">
        <w:rPr>
          <w:rFonts w:ascii="Verdana" w:hAnsi="Verdana"/>
        </w:rPr>
        <w:t xml:space="preserve">El/la apoderado/a del proceso </w:t>
      </w:r>
      <w:bookmarkStart w:id="8" w:name="_Hlk124408019"/>
      <w:r w:rsidRPr="00681EF8">
        <w:rPr>
          <w:rFonts w:ascii="Verdana" w:hAnsi="Verdana"/>
        </w:rPr>
        <w:t xml:space="preserve">debe calcular, </w:t>
      </w:r>
      <w:r w:rsidR="00DA6E3F" w:rsidRPr="00681EF8">
        <w:rPr>
          <w:rFonts w:ascii="Verdana" w:hAnsi="Verdana"/>
        </w:rPr>
        <w:t>con base en su experiencia y conocimientos</w:t>
      </w:r>
      <w:r w:rsidRPr="00681EF8">
        <w:rPr>
          <w:rFonts w:ascii="Verdana" w:hAnsi="Verdana"/>
        </w:rPr>
        <w:t xml:space="preserve">, la duración estimada del proceso judicial, desde la fecha de admisión de la demanda, y proyectar el valor que debe pagar la entidad a la fecha estimada de finalización del proceso utilizando como base el valor obtenido anteriormente </w:t>
      </w:r>
      <w:bookmarkEnd w:id="8"/>
      <w:r w:rsidRPr="00681EF8">
        <w:rPr>
          <w:rFonts w:ascii="Verdana" w:hAnsi="Verdana"/>
        </w:rPr>
        <w:t xml:space="preserve">y traer dicho valor a valor presente. </w:t>
      </w:r>
    </w:p>
    <w:p w14:paraId="2C7713A6" w14:textId="77777777" w:rsidR="006356C6" w:rsidRPr="00681EF8" w:rsidRDefault="006356C6" w:rsidP="00B64A95">
      <w:pPr>
        <w:pStyle w:val="Prrafodelista"/>
        <w:spacing w:after="0" w:line="240" w:lineRule="auto"/>
        <w:jc w:val="both"/>
        <w:rPr>
          <w:rFonts w:ascii="Verdana" w:hAnsi="Verdana"/>
        </w:rPr>
      </w:pPr>
    </w:p>
    <w:p w14:paraId="6F39A14A" w14:textId="77777777" w:rsidR="006356C6" w:rsidRPr="00681EF8" w:rsidRDefault="006356C6" w:rsidP="00B64A95">
      <w:pPr>
        <w:pStyle w:val="Prrafodelista"/>
        <w:spacing w:after="0" w:line="240" w:lineRule="auto"/>
        <w:jc w:val="both"/>
        <w:rPr>
          <w:rFonts w:ascii="Verdana" w:hAnsi="Verdana"/>
        </w:rPr>
      </w:pPr>
      <w:r w:rsidRPr="00681EF8">
        <w:rPr>
          <w:rFonts w:ascii="Verdana" w:hAnsi="Verdana"/>
        </w:rPr>
        <w:t>Para proyectar el valor que se debe pagar en la fecha estimada de terminación del proceso se utilizará la inflación proyectada, a partir de la encuesta mensual de expectativas de analistas económicos emitida por el Banco de la República.</w:t>
      </w:r>
    </w:p>
    <w:p w14:paraId="10ED99DC" w14:textId="77777777" w:rsidR="006356C6" w:rsidRPr="00681EF8" w:rsidRDefault="006356C6" w:rsidP="00B64A95">
      <w:pPr>
        <w:pStyle w:val="Prrafodelista"/>
        <w:spacing w:after="0" w:line="240" w:lineRule="auto"/>
        <w:jc w:val="both"/>
        <w:rPr>
          <w:rFonts w:ascii="Verdana" w:hAnsi="Verdana"/>
          <w:i/>
        </w:rPr>
      </w:pPr>
    </w:p>
    <w:p w14:paraId="063437B6" w14:textId="77777777" w:rsidR="006356C6" w:rsidRPr="00681EF8" w:rsidRDefault="006356C6" w:rsidP="00B64A95">
      <w:pPr>
        <w:pStyle w:val="Prrafodelista"/>
        <w:spacing w:after="0" w:line="240" w:lineRule="auto"/>
        <w:jc w:val="both"/>
        <w:rPr>
          <w:rFonts w:ascii="Verdana" w:hAnsi="Verdana"/>
          <w:b/>
        </w:rPr>
      </w:pPr>
      <w:r w:rsidRPr="00681EF8">
        <w:rPr>
          <w:rFonts w:ascii="Verdana" w:hAnsi="Verdana"/>
        </w:rPr>
        <w:t>Para determinar el valor actual de un pago futuro utilizará la tasa de descuento que, para este caso, será la tasa vigente al momento del registro de los títulos TES cero cupón en pesos, que publica el Banco de la República, con periodicidad mensual</w:t>
      </w:r>
      <w:r w:rsidRPr="00681EF8">
        <w:rPr>
          <w:rStyle w:val="Refdenotaalpie"/>
          <w:rFonts w:ascii="Verdana" w:hAnsi="Verdana"/>
        </w:rPr>
        <w:footnoteReference w:id="10"/>
      </w:r>
      <w:r w:rsidRPr="00681EF8">
        <w:rPr>
          <w:rFonts w:ascii="Verdana" w:hAnsi="Verdana"/>
        </w:rPr>
        <w:t>, así:</w:t>
      </w:r>
    </w:p>
    <w:p w14:paraId="1C49E9BB" w14:textId="77777777" w:rsidR="006356C6" w:rsidRPr="00681EF8" w:rsidRDefault="006356C6" w:rsidP="00B64A95">
      <w:pPr>
        <w:pStyle w:val="Prrafodelista"/>
        <w:spacing w:after="0" w:line="240" w:lineRule="auto"/>
        <w:rPr>
          <w:rFonts w:ascii="Verdana" w:hAnsi="Verdana"/>
        </w:rPr>
      </w:pPr>
    </w:p>
    <w:p w14:paraId="5A986FA4" w14:textId="77777777" w:rsidR="006356C6" w:rsidRPr="00681EF8" w:rsidRDefault="006356C6" w:rsidP="00B64A95">
      <w:pPr>
        <w:pStyle w:val="Prrafodelista"/>
        <w:numPr>
          <w:ilvl w:val="0"/>
          <w:numId w:val="31"/>
        </w:numPr>
        <w:spacing w:after="0" w:line="240" w:lineRule="auto"/>
        <w:jc w:val="both"/>
        <w:rPr>
          <w:rFonts w:ascii="Verdana" w:hAnsi="Verdana"/>
          <w:b/>
        </w:rPr>
      </w:pPr>
      <w:r w:rsidRPr="00681EF8">
        <w:rPr>
          <w:rFonts w:ascii="Verdana" w:hAnsi="Verdana"/>
        </w:rPr>
        <w:t xml:space="preserve">Si el proceso tiene una duración estimada menor a tres años, se utilizará la tasa a un año. </w:t>
      </w:r>
    </w:p>
    <w:p w14:paraId="24FFD613" w14:textId="77777777" w:rsidR="006356C6" w:rsidRPr="00681EF8" w:rsidRDefault="006356C6" w:rsidP="00B64A95">
      <w:pPr>
        <w:pStyle w:val="Prrafodelista"/>
        <w:numPr>
          <w:ilvl w:val="0"/>
          <w:numId w:val="31"/>
        </w:numPr>
        <w:spacing w:after="0" w:line="240" w:lineRule="auto"/>
        <w:jc w:val="both"/>
        <w:rPr>
          <w:rFonts w:ascii="Verdana" w:hAnsi="Verdana"/>
          <w:b/>
        </w:rPr>
      </w:pPr>
      <w:r w:rsidRPr="00681EF8">
        <w:rPr>
          <w:rFonts w:ascii="Verdana" w:hAnsi="Verdana"/>
        </w:rPr>
        <w:t xml:space="preserve">Si el proceso tiene una duración estimada entre tres y siete años, se utilizará la tasa a cinco años. </w:t>
      </w:r>
    </w:p>
    <w:p w14:paraId="05C4552C" w14:textId="77777777" w:rsidR="006356C6" w:rsidRPr="00681EF8" w:rsidRDefault="006356C6" w:rsidP="00B64A95">
      <w:pPr>
        <w:pStyle w:val="Prrafodelista"/>
        <w:numPr>
          <w:ilvl w:val="0"/>
          <w:numId w:val="31"/>
        </w:numPr>
        <w:spacing w:after="0" w:line="240" w:lineRule="auto"/>
        <w:jc w:val="both"/>
        <w:rPr>
          <w:rFonts w:ascii="Verdana" w:hAnsi="Verdana"/>
          <w:b/>
        </w:rPr>
      </w:pPr>
      <w:r w:rsidRPr="00681EF8">
        <w:rPr>
          <w:rFonts w:ascii="Verdana" w:hAnsi="Verdana"/>
        </w:rPr>
        <w:t>Si el proceso tiene una duración estimada mayor a siete años, se utilizará la tasa a diez años.</w:t>
      </w:r>
    </w:p>
    <w:p w14:paraId="32D7204A" w14:textId="77777777" w:rsidR="006356C6" w:rsidRPr="00681EF8" w:rsidRDefault="006356C6" w:rsidP="00B64A95">
      <w:pPr>
        <w:spacing w:after="0" w:line="240" w:lineRule="auto"/>
        <w:jc w:val="both"/>
        <w:rPr>
          <w:rFonts w:ascii="Verdana" w:hAnsi="Verdana"/>
        </w:rPr>
      </w:pPr>
    </w:p>
    <w:p w14:paraId="01FE94B2" w14:textId="77777777" w:rsidR="006356C6" w:rsidRPr="00681EF8" w:rsidRDefault="006356C6" w:rsidP="00B64A95">
      <w:pPr>
        <w:pStyle w:val="Prrafodelista"/>
        <w:numPr>
          <w:ilvl w:val="0"/>
          <w:numId w:val="28"/>
        </w:numPr>
        <w:spacing w:after="0" w:line="240" w:lineRule="auto"/>
        <w:jc w:val="both"/>
        <w:rPr>
          <w:rFonts w:ascii="Verdana" w:hAnsi="Verdana"/>
        </w:rPr>
      </w:pPr>
      <w:r w:rsidRPr="00681EF8">
        <w:rPr>
          <w:rFonts w:ascii="Verdana" w:hAnsi="Verdana"/>
        </w:rPr>
        <w:t>La siguiente fórmula permite realizar el cálculo del valor, a partir de los parámetros mencionados anteriormente:</w:t>
      </w:r>
    </w:p>
    <w:p w14:paraId="4327AF56" w14:textId="77777777" w:rsidR="006356C6" w:rsidRPr="00681EF8" w:rsidRDefault="006356C6" w:rsidP="00B64A95">
      <w:pPr>
        <w:spacing w:after="0" w:line="240" w:lineRule="auto"/>
        <w:jc w:val="both"/>
        <w:rPr>
          <w:rFonts w:ascii="Verdana" w:hAnsi="Verdana"/>
          <w:b/>
        </w:rPr>
      </w:pPr>
    </w:p>
    <w:p w14:paraId="647E48F6" w14:textId="77777777" w:rsidR="006356C6" w:rsidRPr="00681EF8" w:rsidRDefault="006356C6" w:rsidP="00B64A95">
      <w:pPr>
        <w:spacing w:after="0" w:line="240" w:lineRule="auto"/>
        <w:jc w:val="both"/>
        <w:rPr>
          <w:rFonts w:ascii="Verdana" w:hAnsi="Verdana"/>
        </w:rPr>
      </w:pPr>
      <m:oMathPara>
        <m:oMath>
          <m:r>
            <w:rPr>
              <w:rFonts w:ascii="Cambria Math" w:eastAsia="Times New Roman" w:hAnsi="Cambria Math" w:cs="Times New Roman"/>
              <w:lang w:eastAsia="es-CO"/>
            </w:rPr>
            <m:t xml:space="preserve">Valor contigencia= </m:t>
          </m:r>
          <m:f>
            <m:fPr>
              <m:ctrlPr>
                <w:rPr>
                  <w:rFonts w:ascii="Cambria Math" w:eastAsia="Times New Roman" w:hAnsi="Cambria Math" w:cs="Times New Roman"/>
                  <w:i/>
                  <w:lang w:eastAsia="es-CO"/>
                </w:rPr>
              </m:ctrlPr>
            </m:fPr>
            <m:num>
              <m:r>
                <w:rPr>
                  <w:rFonts w:ascii="Cambria Math" w:eastAsia="Times New Roman" w:hAnsi="Cambria Math" w:cs="Times New Roman"/>
                  <w:lang w:eastAsia="es-CO"/>
                </w:rPr>
                <m:t>Pret_indexadas*</m:t>
              </m:r>
              <m:sSup>
                <m:sSupPr>
                  <m:ctrlPr>
                    <w:rPr>
                      <w:rFonts w:ascii="Cambria Math" w:eastAsia="Times New Roman" w:hAnsi="Cambria Math" w:cs="Times New Roman"/>
                      <w:i/>
                      <w:lang w:eastAsia="es-CO"/>
                    </w:rPr>
                  </m:ctrlPr>
                </m:sSupPr>
                <m:e>
                  <m:r>
                    <w:rPr>
                      <w:rFonts w:ascii="Cambria Math" w:eastAsia="Times New Roman" w:hAnsi="Cambria Math" w:cs="Times New Roman"/>
                      <w:lang w:eastAsia="es-CO"/>
                    </w:rPr>
                    <m:t>(1+Inflación proyectada</m:t>
                  </m:r>
                  <m:r>
                    <m:rPr>
                      <m:sty m:val="p"/>
                    </m:rPr>
                    <w:rPr>
                      <w:rFonts w:ascii="Cambria Math" w:eastAsia="Times New Roman" w:hAnsi="Cambria Math" w:cs="Times New Roman"/>
                      <w:lang w:eastAsia="es-CO"/>
                    </w:rPr>
                    <m:t>)</m:t>
                  </m:r>
                </m:e>
                <m:sup>
                  <m:f>
                    <m:fPr>
                      <m:ctrlPr>
                        <w:rPr>
                          <w:rFonts w:ascii="Cambria Math" w:eastAsia="Times New Roman" w:hAnsi="Cambria Math" w:cs="Times New Roman"/>
                          <w:i/>
                          <w:lang w:eastAsia="es-CO"/>
                        </w:rPr>
                      </m:ctrlPr>
                    </m:fPr>
                    <m:num>
                      <m:r>
                        <w:rPr>
                          <w:rFonts w:ascii="Cambria Math" w:eastAsia="Times New Roman" w:hAnsi="Cambria Math" w:cs="Times New Roman"/>
                          <w:lang w:eastAsia="es-CO"/>
                        </w:rPr>
                        <m:t>dt</m:t>
                      </m:r>
                    </m:num>
                    <m:den>
                      <m:r>
                        <w:rPr>
                          <w:rFonts w:ascii="Cambria Math" w:eastAsia="Times New Roman" w:hAnsi="Cambria Math" w:cs="Times New Roman"/>
                          <w:lang w:eastAsia="es-CO"/>
                        </w:rPr>
                        <m:t>365</m:t>
                      </m:r>
                    </m:den>
                  </m:f>
                </m:sup>
              </m:sSup>
            </m:num>
            <m:den>
              <m:sSup>
                <m:sSupPr>
                  <m:ctrlPr>
                    <w:rPr>
                      <w:rFonts w:ascii="Cambria Math" w:eastAsia="Times New Roman" w:hAnsi="Cambria Math" w:cs="Times New Roman"/>
                      <w:i/>
                      <w:lang w:eastAsia="es-CO"/>
                    </w:rPr>
                  </m:ctrlPr>
                </m:sSupPr>
                <m:e>
                  <m:r>
                    <w:rPr>
                      <w:rFonts w:ascii="Cambria Math" w:eastAsia="Times New Roman" w:hAnsi="Cambria Math" w:cs="Times New Roman"/>
                      <w:lang w:eastAsia="es-CO"/>
                    </w:rPr>
                    <m:t>(1+Tasa descuento)</m:t>
                  </m:r>
                </m:e>
                <m:sup>
                  <m:f>
                    <m:fPr>
                      <m:ctrlPr>
                        <w:rPr>
                          <w:rFonts w:ascii="Cambria Math" w:eastAsia="Times New Roman" w:hAnsi="Cambria Math" w:cs="Times New Roman"/>
                          <w:i/>
                          <w:lang w:eastAsia="es-CO"/>
                        </w:rPr>
                      </m:ctrlPr>
                    </m:fPr>
                    <m:num>
                      <m:r>
                        <w:rPr>
                          <w:rFonts w:ascii="Cambria Math" w:eastAsia="Times New Roman" w:hAnsi="Cambria Math" w:cs="Times New Roman"/>
                          <w:lang w:eastAsia="es-CO"/>
                        </w:rPr>
                        <m:t>dt</m:t>
                      </m:r>
                    </m:num>
                    <m:den>
                      <m:r>
                        <w:rPr>
                          <w:rFonts w:ascii="Cambria Math" w:eastAsia="Times New Roman" w:hAnsi="Cambria Math" w:cs="Times New Roman"/>
                          <w:lang w:eastAsia="es-CO"/>
                        </w:rPr>
                        <m:t>365</m:t>
                      </m:r>
                    </m:den>
                  </m:f>
                </m:sup>
              </m:sSup>
            </m:den>
          </m:f>
        </m:oMath>
      </m:oMathPara>
    </w:p>
    <w:p w14:paraId="67EFE7EA" w14:textId="77777777" w:rsidR="00C22868" w:rsidRPr="00681EF8" w:rsidRDefault="00C22868" w:rsidP="00B64A95">
      <w:pPr>
        <w:pStyle w:val="Default"/>
        <w:ind w:left="708"/>
        <w:rPr>
          <w:rFonts w:ascii="Verdana" w:hAnsi="Verdana"/>
          <w:i/>
          <w:color w:val="auto"/>
          <w:sz w:val="22"/>
          <w:szCs w:val="22"/>
        </w:rPr>
      </w:pPr>
    </w:p>
    <w:p w14:paraId="2AEAEF7D" w14:textId="77777777" w:rsidR="00C22868" w:rsidRPr="00681EF8" w:rsidRDefault="00C22868" w:rsidP="00B64A95">
      <w:pPr>
        <w:pStyle w:val="Default"/>
        <w:ind w:left="708"/>
        <w:rPr>
          <w:rFonts w:ascii="Verdana" w:hAnsi="Verdana"/>
          <w:i/>
          <w:color w:val="auto"/>
          <w:sz w:val="22"/>
          <w:szCs w:val="22"/>
        </w:rPr>
      </w:pPr>
    </w:p>
    <w:p w14:paraId="17B95D6A" w14:textId="77777777" w:rsidR="00C22868" w:rsidRPr="00681EF8" w:rsidRDefault="00C22868" w:rsidP="00B64A95">
      <w:pPr>
        <w:pStyle w:val="Default"/>
        <w:ind w:left="708"/>
        <w:rPr>
          <w:rFonts w:ascii="Verdana" w:hAnsi="Verdana"/>
          <w:i/>
          <w:color w:val="auto"/>
          <w:sz w:val="22"/>
          <w:szCs w:val="22"/>
        </w:rPr>
      </w:pPr>
    </w:p>
    <w:p w14:paraId="3AAAA2C0" w14:textId="11F24E7A" w:rsidR="006356C6" w:rsidRPr="00681EF8" w:rsidRDefault="006356C6" w:rsidP="00B64A95">
      <w:pPr>
        <w:pStyle w:val="Default"/>
        <w:ind w:left="708"/>
        <w:rPr>
          <w:rFonts w:ascii="Verdana" w:hAnsi="Verdana"/>
          <w:color w:val="auto"/>
          <w:sz w:val="22"/>
          <w:szCs w:val="22"/>
        </w:rPr>
      </w:pPr>
      <w:r w:rsidRPr="00681EF8">
        <w:rPr>
          <w:rFonts w:ascii="Verdana" w:hAnsi="Verdana"/>
          <w:i/>
          <w:color w:val="auto"/>
          <w:sz w:val="22"/>
          <w:szCs w:val="22"/>
        </w:rPr>
        <w:lastRenderedPageBreak/>
        <w:t xml:space="preserve">Donde, </w:t>
      </w:r>
    </w:p>
    <w:p w14:paraId="3F3270BF" w14:textId="77777777" w:rsidR="006356C6" w:rsidRPr="00681EF8" w:rsidRDefault="006356C6" w:rsidP="00B64A95">
      <w:pPr>
        <w:pStyle w:val="Default"/>
        <w:ind w:left="708"/>
        <w:rPr>
          <w:rFonts w:ascii="Verdana" w:hAnsi="Verdana"/>
          <w:i/>
          <w:color w:val="auto"/>
          <w:sz w:val="22"/>
          <w:szCs w:val="22"/>
        </w:rPr>
      </w:pPr>
    </w:p>
    <w:p w14:paraId="0D1C36CB" w14:textId="77777777" w:rsidR="006356C6" w:rsidRPr="00681EF8" w:rsidRDefault="006356C6" w:rsidP="00B64A95">
      <w:pPr>
        <w:pStyle w:val="Default"/>
        <w:ind w:left="708"/>
        <w:jc w:val="both"/>
        <w:rPr>
          <w:rFonts w:ascii="Verdana" w:hAnsi="Verdana"/>
          <w:i/>
          <w:color w:val="auto"/>
          <w:sz w:val="22"/>
          <w:szCs w:val="22"/>
        </w:rPr>
      </w:pPr>
      <w:r w:rsidRPr="00681EF8">
        <w:rPr>
          <w:rFonts w:ascii="Verdana" w:hAnsi="Verdana"/>
          <w:i/>
          <w:color w:val="auto"/>
          <w:sz w:val="22"/>
          <w:szCs w:val="22"/>
        </w:rPr>
        <w:t>Pret_indexadas: Es el monto que el/la apoderado/a estima que la entidad tendría que desembolsar en caso de ser condenada.</w:t>
      </w:r>
    </w:p>
    <w:p w14:paraId="0E6EB056" w14:textId="77777777" w:rsidR="006356C6" w:rsidRPr="00681EF8" w:rsidRDefault="006356C6" w:rsidP="00B64A95">
      <w:pPr>
        <w:pStyle w:val="Default"/>
        <w:ind w:left="708"/>
        <w:rPr>
          <w:rFonts w:ascii="Verdana" w:hAnsi="Verdana"/>
          <w:color w:val="auto"/>
          <w:sz w:val="22"/>
          <w:szCs w:val="22"/>
        </w:rPr>
      </w:pPr>
    </w:p>
    <w:p w14:paraId="476F9B9F" w14:textId="77777777" w:rsidR="006356C6" w:rsidRPr="00681EF8" w:rsidRDefault="006356C6" w:rsidP="00B64A95">
      <w:pPr>
        <w:pStyle w:val="Default"/>
        <w:ind w:left="708"/>
        <w:jc w:val="both"/>
        <w:rPr>
          <w:rFonts w:ascii="Verdana" w:hAnsi="Verdana"/>
          <w:i/>
          <w:color w:val="auto"/>
          <w:sz w:val="22"/>
          <w:szCs w:val="22"/>
        </w:rPr>
      </w:pPr>
      <w:r w:rsidRPr="00681EF8">
        <w:rPr>
          <w:rFonts w:ascii="Verdana" w:hAnsi="Verdana"/>
          <w:i/>
          <w:color w:val="auto"/>
          <w:sz w:val="22"/>
          <w:szCs w:val="22"/>
        </w:rPr>
        <w:t xml:space="preserve">Dt: Número de días entre la fecha actual y la fecha estimada de terminación del proceso. </w:t>
      </w:r>
    </w:p>
    <w:p w14:paraId="1FB20E70" w14:textId="77777777" w:rsidR="006356C6" w:rsidRPr="00681EF8" w:rsidRDefault="006356C6" w:rsidP="00B64A95">
      <w:pPr>
        <w:pStyle w:val="Default"/>
        <w:ind w:left="708"/>
        <w:rPr>
          <w:rFonts w:ascii="Verdana" w:hAnsi="Verdana"/>
          <w:color w:val="auto"/>
          <w:sz w:val="22"/>
          <w:szCs w:val="22"/>
        </w:rPr>
      </w:pPr>
    </w:p>
    <w:p w14:paraId="0CE092D7" w14:textId="77777777" w:rsidR="006356C6" w:rsidRPr="00681EF8" w:rsidRDefault="006356C6" w:rsidP="00B64A95">
      <w:pPr>
        <w:pStyle w:val="Default"/>
        <w:ind w:left="708"/>
        <w:jc w:val="both"/>
        <w:rPr>
          <w:rFonts w:ascii="Verdana" w:hAnsi="Verdana"/>
          <w:i/>
          <w:color w:val="auto"/>
          <w:sz w:val="22"/>
          <w:szCs w:val="22"/>
        </w:rPr>
      </w:pPr>
      <w:r w:rsidRPr="00681EF8">
        <w:rPr>
          <w:rFonts w:ascii="Verdana" w:hAnsi="Verdana"/>
          <w:i/>
          <w:color w:val="auto"/>
          <w:sz w:val="22"/>
          <w:szCs w:val="22"/>
        </w:rPr>
        <w:t>Inflación proyectada: Es la tasa utilizada para proyectar el valor que se debe pagar en la fecha estimada de terminación del proceso (dt).</w:t>
      </w:r>
    </w:p>
    <w:p w14:paraId="1E6E05C5" w14:textId="77777777" w:rsidR="006356C6" w:rsidRPr="00681EF8" w:rsidRDefault="006356C6" w:rsidP="00B64A95">
      <w:pPr>
        <w:pStyle w:val="Default"/>
        <w:ind w:left="708"/>
        <w:rPr>
          <w:rFonts w:ascii="Verdana" w:hAnsi="Verdana"/>
          <w:color w:val="auto"/>
          <w:sz w:val="22"/>
          <w:szCs w:val="22"/>
        </w:rPr>
      </w:pPr>
    </w:p>
    <w:p w14:paraId="7DE00ADD" w14:textId="77777777" w:rsidR="006356C6" w:rsidRPr="00681EF8" w:rsidRDefault="006356C6" w:rsidP="00B64A95">
      <w:pPr>
        <w:spacing w:after="0" w:line="240" w:lineRule="auto"/>
        <w:ind w:left="708"/>
        <w:jc w:val="both"/>
        <w:rPr>
          <w:rFonts w:ascii="Verdana" w:hAnsi="Verdana"/>
          <w:i/>
        </w:rPr>
      </w:pPr>
      <w:r w:rsidRPr="00681EF8">
        <w:rPr>
          <w:rFonts w:ascii="Verdana" w:hAnsi="Verdana"/>
          <w:i/>
        </w:rPr>
        <w:t>Tasa de descuento: Es la tasa utilizada para determinar el valor actual de un pago futuro.</w:t>
      </w:r>
    </w:p>
    <w:bookmarkEnd w:id="6"/>
    <w:p w14:paraId="0D1959CF" w14:textId="77777777" w:rsidR="00352877" w:rsidRPr="00681EF8" w:rsidRDefault="00352877" w:rsidP="00B64A95">
      <w:pPr>
        <w:spacing w:after="0" w:line="240" w:lineRule="auto"/>
        <w:jc w:val="both"/>
        <w:rPr>
          <w:rFonts w:ascii="Verdana" w:hAnsi="Verdana"/>
          <w:i/>
        </w:rPr>
      </w:pPr>
    </w:p>
    <w:p w14:paraId="42C157EB" w14:textId="422FF857" w:rsidR="006356C6" w:rsidRPr="00681EF8" w:rsidRDefault="006356C6" w:rsidP="00B64A95">
      <w:pPr>
        <w:spacing w:after="0" w:line="240" w:lineRule="auto"/>
        <w:jc w:val="both"/>
        <w:rPr>
          <w:rFonts w:ascii="Verdana" w:hAnsi="Verdana"/>
        </w:rPr>
      </w:pPr>
      <w:r w:rsidRPr="00681EF8">
        <w:rPr>
          <w:rFonts w:ascii="Verdana" w:hAnsi="Verdana"/>
          <w:b/>
        </w:rPr>
        <w:t xml:space="preserve">Artículo </w:t>
      </w:r>
      <w:r w:rsidR="006D3FF6" w:rsidRPr="00681EF8">
        <w:rPr>
          <w:rFonts w:ascii="Verdana" w:hAnsi="Verdana"/>
          <w:b/>
        </w:rPr>
        <w:t>12º</w:t>
      </w:r>
      <w:r w:rsidRPr="00681EF8">
        <w:rPr>
          <w:rFonts w:ascii="Verdana" w:hAnsi="Verdana"/>
          <w:b/>
        </w:rPr>
        <w:t>. Registro del valor estimado de la obligación</w:t>
      </w:r>
      <w:r w:rsidRPr="00681EF8">
        <w:rPr>
          <w:rFonts w:ascii="Verdana" w:hAnsi="Verdana"/>
        </w:rPr>
        <w:t xml:space="preserve"> </w:t>
      </w:r>
      <w:r w:rsidRPr="00681EF8">
        <w:rPr>
          <w:rFonts w:ascii="Verdana" w:hAnsi="Verdana"/>
          <w:b/>
        </w:rPr>
        <w:t>contingente de los procesos judiciales.</w:t>
      </w:r>
      <w:r w:rsidRPr="00681EF8">
        <w:rPr>
          <w:rFonts w:ascii="Verdana" w:hAnsi="Verdana"/>
        </w:rPr>
        <w:t xml:space="preserve"> Teniendo en cuenta la probabilidad de pérdida del proceso (conforme a lo indicado en el parágrafo del artículo </w:t>
      </w:r>
      <w:r w:rsidR="000B71F6" w:rsidRPr="00681EF8">
        <w:rPr>
          <w:rFonts w:ascii="Verdana" w:hAnsi="Verdana"/>
        </w:rPr>
        <w:t>10º</w:t>
      </w:r>
      <w:r w:rsidRPr="00681EF8">
        <w:rPr>
          <w:rFonts w:ascii="Verdana" w:hAnsi="Verdana"/>
        </w:rPr>
        <w:t xml:space="preserve">), el/la apoderado/a debe </w:t>
      </w:r>
      <w:r w:rsidR="00FA6C3A" w:rsidRPr="00681EF8">
        <w:rPr>
          <w:rFonts w:ascii="Verdana" w:eastAsia="Times New Roman" w:hAnsi="Verdana" w:cs="Times New Roman"/>
          <w:lang w:eastAsia="es-CO"/>
        </w:rPr>
        <w:t xml:space="preserve">informar </w:t>
      </w:r>
      <w:r w:rsidR="008477DA" w:rsidRPr="00681EF8">
        <w:rPr>
          <w:rFonts w:ascii="Verdana" w:eastAsia="Times New Roman" w:hAnsi="Verdana" w:cs="Times New Roman"/>
          <w:lang w:eastAsia="es-CO"/>
        </w:rPr>
        <w:t>al área financiera</w:t>
      </w:r>
      <w:r w:rsidR="008477DA" w:rsidRPr="00681EF8">
        <w:rPr>
          <w:rFonts w:ascii="Verdana" w:hAnsi="Verdana"/>
        </w:rPr>
        <w:t xml:space="preserve"> </w:t>
      </w:r>
      <w:r w:rsidRPr="00681EF8">
        <w:rPr>
          <w:rFonts w:ascii="Verdana" w:hAnsi="Verdana"/>
        </w:rPr>
        <w:t xml:space="preserve">el </w:t>
      </w:r>
      <w:r w:rsidR="002F30A9" w:rsidRPr="00681EF8">
        <w:rPr>
          <w:rFonts w:ascii="Verdana" w:hAnsi="Verdana"/>
        </w:rPr>
        <w:t xml:space="preserve">resultado </w:t>
      </w:r>
      <w:r w:rsidRPr="00681EF8">
        <w:rPr>
          <w:rFonts w:ascii="Verdana" w:hAnsi="Verdana"/>
        </w:rPr>
        <w:t>del proc</w:t>
      </w:r>
      <w:r w:rsidR="002F30A9" w:rsidRPr="00681EF8">
        <w:rPr>
          <w:rFonts w:ascii="Verdana" w:hAnsi="Verdana"/>
        </w:rPr>
        <w:t>edimiento</w:t>
      </w:r>
      <w:r w:rsidRPr="00681EF8">
        <w:rPr>
          <w:rFonts w:ascii="Verdana" w:hAnsi="Verdana"/>
        </w:rPr>
        <w:t xml:space="preserve"> como se indica a continuación:</w:t>
      </w:r>
    </w:p>
    <w:p w14:paraId="0E5699A2" w14:textId="77777777" w:rsidR="006356C6" w:rsidRPr="00681EF8" w:rsidRDefault="006356C6" w:rsidP="00B64A95">
      <w:pPr>
        <w:spacing w:after="0" w:line="240" w:lineRule="auto"/>
        <w:jc w:val="both"/>
        <w:rPr>
          <w:rFonts w:ascii="Verdana" w:hAnsi="Verdana"/>
        </w:rPr>
      </w:pPr>
    </w:p>
    <w:p w14:paraId="2B50855D" w14:textId="455702F0" w:rsidR="006356C6" w:rsidRPr="00681EF8" w:rsidRDefault="006356C6" w:rsidP="00B64A95">
      <w:pPr>
        <w:pStyle w:val="Prrafodelista"/>
        <w:numPr>
          <w:ilvl w:val="0"/>
          <w:numId w:val="16"/>
        </w:numPr>
        <w:spacing w:after="0" w:line="240" w:lineRule="auto"/>
        <w:jc w:val="both"/>
        <w:rPr>
          <w:rFonts w:ascii="Verdana" w:hAnsi="Verdana"/>
        </w:rPr>
      </w:pPr>
      <w:r w:rsidRPr="00681EF8">
        <w:rPr>
          <w:rFonts w:ascii="Verdana" w:hAnsi="Verdana"/>
        </w:rPr>
        <w:t>Si la probabilidad de pérdida se califica como ALTA (más del 50%), el/la apoderado/a comunicará al área financiera el valor calculado en el artículo 7º para que este sea registrado como provisión contable, conforme a la regulación contable pública expedida por la Contaduría General de la Nación. Adicionalmente, comunicará al área financiera la tasa de los TES aplicada en la medición de la provisión contable para que se tenga en cuenta en la actualización financiera de la provisión.</w:t>
      </w:r>
    </w:p>
    <w:p w14:paraId="4B190C63" w14:textId="77777777" w:rsidR="006356C6" w:rsidRPr="00681EF8" w:rsidRDefault="006356C6" w:rsidP="00B64A95">
      <w:pPr>
        <w:pStyle w:val="Prrafodelista"/>
        <w:spacing w:after="0" w:line="240" w:lineRule="auto"/>
        <w:ind w:left="360"/>
        <w:jc w:val="both"/>
        <w:rPr>
          <w:rFonts w:ascii="Verdana" w:hAnsi="Verdana"/>
        </w:rPr>
      </w:pPr>
    </w:p>
    <w:p w14:paraId="69B43A33" w14:textId="36188927" w:rsidR="006356C6" w:rsidRPr="00681EF8" w:rsidRDefault="006356C6" w:rsidP="00B64A95">
      <w:pPr>
        <w:pStyle w:val="Prrafodelista"/>
        <w:numPr>
          <w:ilvl w:val="0"/>
          <w:numId w:val="16"/>
        </w:numPr>
        <w:spacing w:after="0" w:line="240" w:lineRule="auto"/>
        <w:jc w:val="both"/>
        <w:rPr>
          <w:rFonts w:ascii="Verdana" w:hAnsi="Verdana"/>
        </w:rPr>
      </w:pPr>
      <w:r w:rsidRPr="00681EF8">
        <w:rPr>
          <w:rFonts w:ascii="Verdana" w:hAnsi="Verdana"/>
        </w:rPr>
        <w:t>Si la probabilidad de pérdida se califica como MEDIA (superior al 25% e inferior o igual al 50%), el/la apoderado/a</w:t>
      </w:r>
      <w:r w:rsidR="009939DA" w:rsidRPr="00681EF8">
        <w:rPr>
          <w:rFonts w:ascii="Verdana" w:hAnsi="Verdana"/>
        </w:rPr>
        <w:t xml:space="preserve"> </w:t>
      </w:r>
      <w:r w:rsidRPr="00681EF8">
        <w:rPr>
          <w:rFonts w:ascii="Verdana" w:hAnsi="Verdana"/>
        </w:rPr>
        <w:t>comunicará al área financiera el valor de las pretensiones ajustado para que sea registrado como pasivo contingente en las cuentas de orden, conforme a la regulación contable pública expedida por la Contaduría General de la Nación.</w:t>
      </w:r>
    </w:p>
    <w:p w14:paraId="7AADB92C" w14:textId="77777777" w:rsidR="00403673" w:rsidRPr="00681EF8" w:rsidRDefault="00403673" w:rsidP="00B64A95">
      <w:pPr>
        <w:pStyle w:val="Prrafodelista"/>
        <w:spacing w:after="0" w:line="240" w:lineRule="auto"/>
        <w:rPr>
          <w:rFonts w:ascii="Verdana" w:hAnsi="Verdana"/>
        </w:rPr>
      </w:pPr>
    </w:p>
    <w:p w14:paraId="0188DDB2" w14:textId="66528072" w:rsidR="00403673" w:rsidRPr="00681EF8" w:rsidRDefault="00403673" w:rsidP="00B64A95">
      <w:pPr>
        <w:pStyle w:val="Prrafodelista"/>
        <w:numPr>
          <w:ilvl w:val="0"/>
          <w:numId w:val="16"/>
        </w:numPr>
        <w:spacing w:after="0" w:line="240" w:lineRule="auto"/>
        <w:rPr>
          <w:rFonts w:ascii="Verdana" w:hAnsi="Verdana"/>
        </w:rPr>
      </w:pPr>
      <w:r w:rsidRPr="00681EF8">
        <w:rPr>
          <w:rFonts w:ascii="Verdana" w:hAnsi="Verdana"/>
        </w:rPr>
        <w:t>Si la probabilidad de pérdida se califica como BAJA (mayor al 10% e inferior o igual al 25%), el/la apoderado/a comunicará al área financiera el valor de las pretensiones ajustado para que sea registrado como pasivo contingente en las cuentas de orden, conforme a la regulación contable pública expedida por la Contaduría General de la Nación.</w:t>
      </w:r>
    </w:p>
    <w:p w14:paraId="4229935D" w14:textId="77777777" w:rsidR="006356C6" w:rsidRPr="00681EF8" w:rsidRDefault="006356C6" w:rsidP="00B64A95">
      <w:pPr>
        <w:pStyle w:val="Prrafodelista"/>
        <w:spacing w:after="0" w:line="240" w:lineRule="auto"/>
        <w:ind w:left="360"/>
        <w:jc w:val="both"/>
        <w:rPr>
          <w:rFonts w:ascii="Verdana" w:hAnsi="Verdana"/>
        </w:rPr>
      </w:pPr>
    </w:p>
    <w:p w14:paraId="500732A6" w14:textId="0616891B" w:rsidR="006356C6" w:rsidRPr="00681EF8" w:rsidRDefault="006356C6" w:rsidP="00B64A95">
      <w:pPr>
        <w:pStyle w:val="Prrafodelista"/>
        <w:numPr>
          <w:ilvl w:val="0"/>
          <w:numId w:val="16"/>
        </w:numPr>
        <w:spacing w:after="0" w:line="240" w:lineRule="auto"/>
        <w:jc w:val="both"/>
        <w:rPr>
          <w:rFonts w:ascii="Verdana" w:hAnsi="Verdana"/>
        </w:rPr>
      </w:pPr>
      <w:r w:rsidRPr="00681EF8">
        <w:rPr>
          <w:rFonts w:ascii="Verdana" w:hAnsi="Verdana"/>
        </w:rPr>
        <w:t>Si la probabilidad de pérdida es REMOTA (menor o igual al 10%), el/la apoderado/a</w:t>
      </w:r>
      <w:r w:rsidR="00072264" w:rsidRPr="00681EF8">
        <w:rPr>
          <w:rFonts w:ascii="Verdana" w:hAnsi="Verdana"/>
        </w:rPr>
        <w:t xml:space="preserve"> </w:t>
      </w:r>
      <w:r w:rsidRPr="00681EF8">
        <w:rPr>
          <w:rFonts w:ascii="Verdana" w:hAnsi="Verdana"/>
        </w:rPr>
        <w:t>comunicará al área financiera la probabilidad para lo pertinente, conforme a la regulación contable pública expedida por la Contaduría General de la Nación.</w:t>
      </w:r>
    </w:p>
    <w:p w14:paraId="3F2ED84E" w14:textId="77777777" w:rsidR="006356C6" w:rsidRPr="00681EF8" w:rsidRDefault="006356C6" w:rsidP="00B64A95">
      <w:pPr>
        <w:spacing w:after="0" w:line="240" w:lineRule="auto"/>
        <w:jc w:val="both"/>
        <w:rPr>
          <w:rFonts w:ascii="Verdana" w:hAnsi="Verdana"/>
        </w:rPr>
      </w:pPr>
    </w:p>
    <w:p w14:paraId="032D058D" w14:textId="0CCD01AB" w:rsidR="006356C6" w:rsidRPr="00681EF8" w:rsidRDefault="006356C6" w:rsidP="00B64A95">
      <w:pPr>
        <w:spacing w:after="0" w:line="240" w:lineRule="auto"/>
        <w:jc w:val="both"/>
        <w:rPr>
          <w:rFonts w:ascii="Verdana" w:hAnsi="Verdana"/>
          <w:b/>
        </w:rPr>
      </w:pPr>
      <w:r w:rsidRPr="00681EF8">
        <w:rPr>
          <w:rFonts w:ascii="Verdana" w:hAnsi="Verdana"/>
          <w:b/>
        </w:rPr>
        <w:t xml:space="preserve">Artículo </w:t>
      </w:r>
      <w:r w:rsidR="006D3FF6" w:rsidRPr="00681EF8">
        <w:rPr>
          <w:rFonts w:ascii="Verdana" w:hAnsi="Verdana"/>
          <w:b/>
        </w:rPr>
        <w:t>13</w:t>
      </w:r>
      <w:r w:rsidRPr="00681EF8">
        <w:rPr>
          <w:rFonts w:ascii="Verdana" w:hAnsi="Verdana"/>
          <w:b/>
        </w:rPr>
        <w:t xml:space="preserve">º. Otras reglas aplicables a procesos judiciales. </w:t>
      </w:r>
    </w:p>
    <w:p w14:paraId="713AA432" w14:textId="77777777" w:rsidR="006356C6" w:rsidRPr="00681EF8" w:rsidRDefault="006356C6" w:rsidP="00B64A95">
      <w:pPr>
        <w:spacing w:after="0" w:line="240" w:lineRule="auto"/>
        <w:jc w:val="both"/>
        <w:rPr>
          <w:rFonts w:ascii="Verdana" w:hAnsi="Verdana"/>
          <w:b/>
        </w:rPr>
      </w:pPr>
    </w:p>
    <w:p w14:paraId="71BA1849" w14:textId="2AD2DAE7" w:rsidR="006356C6" w:rsidRPr="00681EF8" w:rsidRDefault="006356C6" w:rsidP="00B64A95">
      <w:pPr>
        <w:spacing w:after="0" w:line="240" w:lineRule="auto"/>
        <w:jc w:val="both"/>
        <w:rPr>
          <w:rFonts w:ascii="Verdana" w:hAnsi="Verdana"/>
        </w:rPr>
      </w:pPr>
      <w:r w:rsidRPr="00681EF8">
        <w:rPr>
          <w:rFonts w:ascii="Verdana" w:hAnsi="Verdana"/>
        </w:rPr>
        <w:t>Los procesos judiciales cuyas pretensiones son de carácter indeterminado, se estimarán económicamente</w:t>
      </w:r>
      <w:r w:rsidR="00017CB1" w:rsidRPr="00681EF8">
        <w:rPr>
          <w:rFonts w:ascii="Verdana" w:hAnsi="Verdana"/>
        </w:rPr>
        <w:t>,</w:t>
      </w:r>
      <w:r w:rsidRPr="00681EF8">
        <w:rPr>
          <w:rFonts w:ascii="Verdana" w:hAnsi="Verdana"/>
        </w:rPr>
        <w:t xml:space="preserve"> </w:t>
      </w:r>
      <w:r w:rsidR="00017CB1" w:rsidRPr="00681EF8">
        <w:rPr>
          <w:rFonts w:ascii="Verdana" w:hAnsi="Verdana"/>
        </w:rPr>
        <w:t xml:space="preserve">con base en la experiencia y conocimientos de la persona encargada del caso, </w:t>
      </w:r>
      <w:r w:rsidRPr="00681EF8">
        <w:rPr>
          <w:rFonts w:ascii="Verdana" w:hAnsi="Verdana"/>
        </w:rPr>
        <w:t>en aquellos casos en que resulte viable tal ejercicio. Además, debe informarse al área financiera con el fin de que esta área realice los procedimientos pertinentes de conformidad con la regulación contable pública expedida por la Contaduría General de la Nación.</w:t>
      </w:r>
    </w:p>
    <w:p w14:paraId="0B429EAF" w14:textId="77777777" w:rsidR="006356C6" w:rsidRPr="00681EF8" w:rsidRDefault="006356C6" w:rsidP="00B64A95">
      <w:pPr>
        <w:pStyle w:val="Prrafodelista"/>
        <w:spacing w:after="0" w:line="240" w:lineRule="auto"/>
        <w:ind w:left="360"/>
        <w:jc w:val="both"/>
        <w:rPr>
          <w:rFonts w:ascii="Verdana" w:hAnsi="Verdana"/>
        </w:rPr>
      </w:pPr>
    </w:p>
    <w:p w14:paraId="15CE6449" w14:textId="11D044A2" w:rsidR="006356C6" w:rsidRPr="00681EF8" w:rsidRDefault="006356C6" w:rsidP="00B64A95">
      <w:pPr>
        <w:spacing w:after="0" w:line="240" w:lineRule="auto"/>
        <w:jc w:val="both"/>
        <w:rPr>
          <w:rFonts w:ascii="Verdana" w:hAnsi="Verdana"/>
        </w:rPr>
      </w:pPr>
      <w:r w:rsidRPr="00681EF8">
        <w:rPr>
          <w:rFonts w:ascii="Verdana" w:hAnsi="Verdana"/>
        </w:rPr>
        <w:t>Todo proceso que se pierda por la entidad en primera instancia y no cuente con sentencia ejecutoriada, se debe calificar con riesgo alto y provisionar por el valor total de la condena</w:t>
      </w:r>
      <w:r w:rsidRPr="00681EF8">
        <w:rPr>
          <w:rFonts w:ascii="Verdana" w:hAnsi="Verdana" w:cs="Times New Roman"/>
        </w:rPr>
        <w:t>.</w:t>
      </w:r>
      <w:r w:rsidRPr="00681EF8">
        <w:rPr>
          <w:rFonts w:ascii="Verdana" w:hAnsi="Verdana"/>
        </w:rPr>
        <w:t xml:space="preserve"> La misma regla aplica en aquellos procesos que se pierden en segunda instancia y no cuenten con sentencia ejecutoriada.</w:t>
      </w:r>
    </w:p>
    <w:p w14:paraId="29EA0DA7" w14:textId="77777777" w:rsidR="006356C6" w:rsidRPr="00681EF8" w:rsidRDefault="006356C6" w:rsidP="00B64A95">
      <w:pPr>
        <w:spacing w:after="0" w:line="240" w:lineRule="auto"/>
        <w:jc w:val="both"/>
        <w:rPr>
          <w:rFonts w:ascii="Verdana" w:hAnsi="Verdana"/>
        </w:rPr>
      </w:pPr>
    </w:p>
    <w:p w14:paraId="131A7DF0" w14:textId="254ACE37" w:rsidR="006356C6" w:rsidRPr="00681EF8" w:rsidRDefault="006356C6" w:rsidP="00B64A95">
      <w:pPr>
        <w:spacing w:after="0" w:line="240" w:lineRule="auto"/>
        <w:jc w:val="both"/>
        <w:rPr>
          <w:rFonts w:ascii="Verdana" w:hAnsi="Verdana"/>
        </w:rPr>
      </w:pPr>
      <w:r w:rsidRPr="00681EF8">
        <w:rPr>
          <w:rFonts w:ascii="Verdana" w:hAnsi="Verdana"/>
        </w:rPr>
        <w:t xml:space="preserve">Si el proceso se gana en primera o segunda instancia, y el/la demandante apela o interpone un recurso extraordinario, se debe volver a calificar el proceso </w:t>
      </w:r>
      <w:r w:rsidRPr="00681EF8">
        <w:rPr>
          <w:rFonts w:ascii="Verdana" w:hAnsi="Verdana"/>
        </w:rPr>
        <w:lastRenderedPageBreak/>
        <w:t xml:space="preserve">judicial conforme a las reglas establecidas en el artículo </w:t>
      </w:r>
      <w:r w:rsidR="008D4103" w:rsidRPr="00681EF8">
        <w:rPr>
          <w:rFonts w:ascii="Verdana" w:hAnsi="Verdana"/>
        </w:rPr>
        <w:t>10</w:t>
      </w:r>
      <w:r w:rsidRPr="00681EF8">
        <w:rPr>
          <w:rFonts w:ascii="Verdana" w:hAnsi="Verdana"/>
        </w:rPr>
        <w:t>º de la presente resolución.</w:t>
      </w:r>
    </w:p>
    <w:p w14:paraId="7A5E117D" w14:textId="77777777" w:rsidR="006356C6" w:rsidRPr="00681EF8" w:rsidRDefault="006356C6" w:rsidP="00B64A95">
      <w:pPr>
        <w:spacing w:after="0" w:line="240" w:lineRule="auto"/>
        <w:jc w:val="both"/>
        <w:rPr>
          <w:rFonts w:ascii="Verdana" w:hAnsi="Verdana"/>
        </w:rPr>
      </w:pPr>
    </w:p>
    <w:p w14:paraId="05D1D62F" w14:textId="77777777" w:rsidR="006356C6" w:rsidRPr="00681EF8" w:rsidRDefault="006356C6" w:rsidP="00B64A95">
      <w:pPr>
        <w:spacing w:after="0" w:line="240" w:lineRule="auto"/>
        <w:jc w:val="both"/>
        <w:rPr>
          <w:rFonts w:ascii="Verdana" w:hAnsi="Verdana"/>
        </w:rPr>
      </w:pPr>
      <w:r w:rsidRPr="00681EF8">
        <w:rPr>
          <w:rFonts w:ascii="Verdana" w:hAnsi="Verdana"/>
        </w:rPr>
        <w:t xml:space="preserve">En caso de que existan múltiples entidades demandadas frente a un mismo proceso, el/la apoderado/a de cada entidad debe hacer el ejercicio de manera independiente teniendo en cuenta la probabilidad de condena de la entidad que representa en el proceso. En ningún evento se debe efectuar prorrateo entre las entidades codemandadas de la suma total de las pretensiones de la demanda, ni del resultado del ajuste de la relación condena pretensión. </w:t>
      </w:r>
    </w:p>
    <w:p w14:paraId="5E128098" w14:textId="77777777" w:rsidR="006356C6" w:rsidRPr="00681EF8" w:rsidRDefault="006356C6" w:rsidP="00B64A95">
      <w:pPr>
        <w:pStyle w:val="Prrafodelista"/>
        <w:spacing w:after="0" w:line="240" w:lineRule="auto"/>
        <w:jc w:val="both"/>
        <w:rPr>
          <w:rFonts w:ascii="Verdana" w:hAnsi="Verdana"/>
        </w:rPr>
      </w:pPr>
    </w:p>
    <w:p w14:paraId="06DC37EA" w14:textId="77777777" w:rsidR="006356C6" w:rsidRPr="00681EF8" w:rsidRDefault="006356C6" w:rsidP="00B64A95">
      <w:pPr>
        <w:spacing w:after="0" w:line="240" w:lineRule="auto"/>
        <w:jc w:val="both"/>
        <w:rPr>
          <w:rFonts w:ascii="Verdana" w:hAnsi="Verdana"/>
        </w:rPr>
      </w:pPr>
      <w:r w:rsidRPr="00681EF8">
        <w:rPr>
          <w:rFonts w:ascii="Verdana" w:hAnsi="Verdana"/>
        </w:rPr>
        <w:t>En todo caso, el valor de la obligación contingente de una entidad no debe tener en cuenta, como variable ni como referencia, el valor estimado de la obligación contingente de las otras entidades codemandadas.</w:t>
      </w:r>
    </w:p>
    <w:p w14:paraId="4959C6AD" w14:textId="77777777" w:rsidR="006356C6" w:rsidRPr="00681EF8" w:rsidRDefault="006356C6" w:rsidP="00B64A95">
      <w:pPr>
        <w:spacing w:after="0" w:line="240" w:lineRule="auto"/>
        <w:jc w:val="both"/>
        <w:rPr>
          <w:rFonts w:ascii="Verdana" w:hAnsi="Verdana"/>
        </w:rPr>
      </w:pPr>
    </w:p>
    <w:p w14:paraId="14FF2C00" w14:textId="1427BD4E" w:rsidR="00A703E0" w:rsidRPr="00681EF8" w:rsidRDefault="006356C6" w:rsidP="00B64A95">
      <w:pPr>
        <w:spacing w:after="0" w:line="240" w:lineRule="auto"/>
        <w:jc w:val="both"/>
        <w:rPr>
          <w:rFonts w:ascii="Verdana" w:hAnsi="Verdana"/>
        </w:rPr>
      </w:pPr>
      <w:r w:rsidRPr="00681EF8">
        <w:rPr>
          <w:rFonts w:ascii="Verdana" w:hAnsi="Verdana"/>
        </w:rPr>
        <w:t>En ningún caso se deben provisionar los procesos en los cuales la entidad actúa en calidad de demandante.</w:t>
      </w:r>
    </w:p>
    <w:p w14:paraId="4FFAB3FC" w14:textId="77777777" w:rsidR="00C22868" w:rsidRPr="00681EF8" w:rsidRDefault="00C22868" w:rsidP="00B64A95">
      <w:pPr>
        <w:spacing w:after="0" w:line="240" w:lineRule="auto"/>
        <w:jc w:val="both"/>
        <w:rPr>
          <w:rFonts w:ascii="Verdana" w:hAnsi="Verdana"/>
        </w:rPr>
      </w:pPr>
    </w:p>
    <w:p w14:paraId="3E0B5DDF" w14:textId="77777777" w:rsidR="006C158D" w:rsidRPr="00681EF8" w:rsidRDefault="006C158D" w:rsidP="00B64A95">
      <w:pPr>
        <w:spacing w:after="0" w:line="240" w:lineRule="auto"/>
        <w:jc w:val="both"/>
        <w:rPr>
          <w:rFonts w:ascii="Verdana" w:hAnsi="Verdana"/>
        </w:rPr>
      </w:pPr>
    </w:p>
    <w:p w14:paraId="079930AC" w14:textId="77777777" w:rsidR="00A703E0" w:rsidRPr="00681EF8" w:rsidRDefault="00A703E0" w:rsidP="00B64A95">
      <w:pPr>
        <w:spacing w:after="0" w:line="240" w:lineRule="auto"/>
        <w:jc w:val="center"/>
        <w:rPr>
          <w:rFonts w:ascii="Verdana" w:hAnsi="Verdana"/>
          <w:b/>
        </w:rPr>
      </w:pPr>
      <w:r w:rsidRPr="00681EF8">
        <w:rPr>
          <w:rFonts w:ascii="Verdana" w:hAnsi="Verdana"/>
          <w:b/>
        </w:rPr>
        <w:t xml:space="preserve">CAPÍTULO IV </w:t>
      </w:r>
    </w:p>
    <w:p w14:paraId="1AECFBB9" w14:textId="77777777" w:rsidR="00A703E0" w:rsidRPr="00681EF8" w:rsidRDefault="00A703E0" w:rsidP="00B64A95">
      <w:pPr>
        <w:spacing w:after="0" w:line="240" w:lineRule="auto"/>
        <w:jc w:val="center"/>
        <w:rPr>
          <w:rFonts w:ascii="Verdana" w:hAnsi="Verdana"/>
          <w:b/>
        </w:rPr>
      </w:pPr>
      <w:r w:rsidRPr="00681EF8">
        <w:rPr>
          <w:rFonts w:ascii="Verdana" w:hAnsi="Verdana"/>
          <w:b/>
        </w:rPr>
        <w:t>CALIFICACIÓN DEL RIESGO PROCESAL Y OBLIGACIÓN CONTINGENTE DE TRÁMITES ARBITRALES</w:t>
      </w:r>
    </w:p>
    <w:p w14:paraId="16C015AC" w14:textId="77777777" w:rsidR="006C158D" w:rsidRPr="00681EF8" w:rsidRDefault="006C158D" w:rsidP="00B64A95">
      <w:pPr>
        <w:spacing w:after="0" w:line="240" w:lineRule="auto"/>
        <w:jc w:val="both"/>
        <w:rPr>
          <w:rFonts w:ascii="Verdana" w:hAnsi="Verdana"/>
          <w:b/>
        </w:rPr>
      </w:pPr>
    </w:p>
    <w:p w14:paraId="48311E48" w14:textId="77777777" w:rsidR="00352877" w:rsidRPr="00681EF8" w:rsidRDefault="00352877" w:rsidP="00B64A95">
      <w:pPr>
        <w:spacing w:after="0" w:line="240" w:lineRule="auto"/>
        <w:jc w:val="both"/>
        <w:rPr>
          <w:rFonts w:ascii="Verdana" w:hAnsi="Verdana"/>
          <w:b/>
        </w:rPr>
      </w:pPr>
    </w:p>
    <w:p w14:paraId="5EFE3D75" w14:textId="034A1464" w:rsidR="00A703E0" w:rsidRPr="00681EF8" w:rsidRDefault="00A703E0" w:rsidP="00B64A95">
      <w:pPr>
        <w:spacing w:after="0" w:line="240" w:lineRule="auto"/>
        <w:jc w:val="both"/>
        <w:rPr>
          <w:rFonts w:ascii="Verdana" w:hAnsi="Verdana"/>
        </w:rPr>
      </w:pPr>
      <w:r w:rsidRPr="00681EF8">
        <w:rPr>
          <w:rFonts w:ascii="Verdana" w:hAnsi="Verdana"/>
          <w:b/>
        </w:rPr>
        <w:t xml:space="preserve">Artículo </w:t>
      </w:r>
      <w:r w:rsidR="006D3FF6" w:rsidRPr="00681EF8">
        <w:rPr>
          <w:rFonts w:ascii="Verdana" w:hAnsi="Verdana"/>
          <w:b/>
        </w:rPr>
        <w:t>14º</w:t>
      </w:r>
      <w:r w:rsidRPr="00681EF8">
        <w:rPr>
          <w:rFonts w:ascii="Verdana" w:hAnsi="Verdana"/>
          <w:b/>
        </w:rPr>
        <w:t xml:space="preserve">. Metodología para el cálculo de la obligación contingente de los trámites arbitrales. </w:t>
      </w:r>
      <w:r w:rsidRPr="00681EF8">
        <w:rPr>
          <w:rFonts w:ascii="Verdana" w:hAnsi="Verdana"/>
        </w:rPr>
        <w:t>La metodología para la determinación de la obligación</w:t>
      </w:r>
      <w:r w:rsidRPr="00681EF8">
        <w:rPr>
          <w:rFonts w:ascii="Verdana" w:hAnsi="Verdana"/>
          <w:lang w:val="es-MX"/>
        </w:rPr>
        <w:t xml:space="preserve"> contingente</w:t>
      </w:r>
      <w:r w:rsidRPr="00681EF8">
        <w:rPr>
          <w:rFonts w:ascii="Verdana" w:hAnsi="Verdana"/>
        </w:rPr>
        <w:t xml:space="preserve"> relacionada con los trámites arbitrales debe ser realizada, entre el momento de la notificación de la demanda y antes de la contestación y deber</w:t>
      </w:r>
      <w:r w:rsidR="003D1413" w:rsidRPr="00681EF8">
        <w:rPr>
          <w:rFonts w:ascii="Verdana" w:hAnsi="Verdana"/>
        </w:rPr>
        <w:t>á</w:t>
      </w:r>
      <w:r w:rsidRPr="00681EF8">
        <w:rPr>
          <w:rFonts w:ascii="Verdana" w:hAnsi="Verdana"/>
        </w:rPr>
        <w:t xml:space="preserve"> efectuar la primera calificación de riesgo y el cálculo de la obligación</w:t>
      </w:r>
      <w:r w:rsidRPr="00681EF8">
        <w:rPr>
          <w:rFonts w:ascii="Verdana" w:hAnsi="Verdana"/>
          <w:lang w:val="es-MX"/>
        </w:rPr>
        <w:t xml:space="preserve"> contingente</w:t>
      </w:r>
      <w:r w:rsidR="00650910" w:rsidRPr="00681EF8">
        <w:rPr>
          <w:rFonts w:ascii="Verdana" w:eastAsia="Times New Roman" w:hAnsi="Verdana" w:cs="Times New Roman"/>
          <w:lang w:val="es-MX" w:eastAsia="es-CO"/>
        </w:rPr>
        <w:t xml:space="preserve">, utilizando para ello la </w:t>
      </w:r>
      <w:r w:rsidR="00E930F6" w:rsidRPr="00681EF8">
        <w:rPr>
          <w:rFonts w:ascii="Verdana" w:eastAsia="Times New Roman" w:hAnsi="Verdana" w:cs="Times New Roman"/>
          <w:lang w:val="es-MX" w:eastAsia="es-CO"/>
        </w:rPr>
        <w:t>Herramienta de Ayuda</w:t>
      </w:r>
      <w:r w:rsidRPr="00681EF8">
        <w:rPr>
          <w:rFonts w:ascii="Verdana" w:eastAsia="Times New Roman" w:hAnsi="Verdana" w:cs="Times New Roman"/>
          <w:lang w:eastAsia="es-CO"/>
        </w:rPr>
        <w:t>.</w:t>
      </w:r>
      <w:r w:rsidRPr="00681EF8">
        <w:rPr>
          <w:rFonts w:ascii="Verdana" w:hAnsi="Verdana"/>
        </w:rPr>
        <w:t xml:space="preserve"> Además, </w:t>
      </w:r>
      <w:r w:rsidR="004623BE" w:rsidRPr="00681EF8">
        <w:rPr>
          <w:rFonts w:ascii="Verdana" w:hAnsi="Verdana"/>
        </w:rPr>
        <w:t xml:space="preserve">informará al área financiera </w:t>
      </w:r>
      <w:r w:rsidRPr="00681EF8">
        <w:rPr>
          <w:rFonts w:ascii="Verdana" w:hAnsi="Verdana"/>
        </w:rPr>
        <w:t xml:space="preserve">el </w:t>
      </w:r>
      <w:r w:rsidR="009A058F" w:rsidRPr="00681EF8">
        <w:rPr>
          <w:rFonts w:ascii="Verdana" w:hAnsi="Verdana"/>
        </w:rPr>
        <w:t>resultado para que pueda realizar el registro</w:t>
      </w:r>
      <w:r w:rsidRPr="00681EF8">
        <w:rPr>
          <w:rFonts w:ascii="Verdana" w:hAnsi="Verdana"/>
        </w:rPr>
        <w:t xml:space="preserve">, si hay lugar a ello. </w:t>
      </w:r>
    </w:p>
    <w:p w14:paraId="5A88ACFC" w14:textId="77777777" w:rsidR="00A703E0" w:rsidRPr="00681EF8" w:rsidRDefault="00A703E0" w:rsidP="00B64A95">
      <w:pPr>
        <w:spacing w:after="0" w:line="240" w:lineRule="auto"/>
        <w:jc w:val="both"/>
        <w:rPr>
          <w:rFonts w:ascii="Verdana" w:hAnsi="Verdana"/>
        </w:rPr>
      </w:pPr>
    </w:p>
    <w:p w14:paraId="48612693" w14:textId="77777777" w:rsidR="00A703E0" w:rsidRPr="00681EF8" w:rsidRDefault="00A703E0" w:rsidP="00B64A95">
      <w:pPr>
        <w:spacing w:after="0" w:line="240" w:lineRule="auto"/>
        <w:jc w:val="both"/>
        <w:rPr>
          <w:rFonts w:ascii="Verdana" w:hAnsi="Verdana"/>
        </w:rPr>
      </w:pPr>
      <w:r w:rsidRPr="00681EF8">
        <w:rPr>
          <w:rFonts w:ascii="Verdana" w:hAnsi="Verdana"/>
        </w:rPr>
        <w:t>Los/las apoderado/as de cada trámite arbitral son los encargados de efectuar la calificación del riesgo procesal y calcular la obligación</w:t>
      </w:r>
      <w:r w:rsidRPr="00681EF8">
        <w:rPr>
          <w:rFonts w:ascii="Verdana" w:hAnsi="Verdana"/>
          <w:lang w:val="es-MX"/>
        </w:rPr>
        <w:t xml:space="preserve"> contingente</w:t>
      </w:r>
      <w:r w:rsidRPr="00681EF8">
        <w:rPr>
          <w:rFonts w:ascii="Verdana" w:hAnsi="Verdana"/>
        </w:rPr>
        <w:t>, a su vez deben informar al área financiera el valor de la provisión.</w:t>
      </w:r>
    </w:p>
    <w:p w14:paraId="5211A5E0" w14:textId="77777777" w:rsidR="00A703E0" w:rsidRPr="00681EF8" w:rsidRDefault="00A703E0" w:rsidP="00B64A95">
      <w:pPr>
        <w:spacing w:after="0" w:line="240" w:lineRule="auto"/>
        <w:jc w:val="both"/>
        <w:rPr>
          <w:rFonts w:ascii="Verdana" w:hAnsi="Verdana"/>
        </w:rPr>
      </w:pPr>
    </w:p>
    <w:p w14:paraId="0A155F5D" w14:textId="515C19CB" w:rsidR="00A703E0" w:rsidRPr="00681EF8" w:rsidRDefault="00A703E0" w:rsidP="00B64A95">
      <w:pPr>
        <w:spacing w:after="0" w:line="240" w:lineRule="auto"/>
        <w:jc w:val="both"/>
        <w:rPr>
          <w:rFonts w:ascii="Verdana" w:hAnsi="Verdana"/>
        </w:rPr>
      </w:pPr>
      <w:r w:rsidRPr="00681EF8">
        <w:rPr>
          <w:rFonts w:ascii="Verdana" w:hAnsi="Verdana"/>
          <w:b/>
        </w:rPr>
        <w:t>Parágrafo</w:t>
      </w:r>
      <w:r w:rsidR="004C435D" w:rsidRPr="00681EF8">
        <w:rPr>
          <w:rFonts w:ascii="Verdana" w:hAnsi="Verdana"/>
          <w:b/>
        </w:rPr>
        <w:t xml:space="preserve"> 1</w:t>
      </w:r>
      <w:r w:rsidRPr="00681EF8">
        <w:rPr>
          <w:rFonts w:ascii="Verdana" w:hAnsi="Verdana"/>
          <w:b/>
        </w:rPr>
        <w:t xml:space="preserve">: </w:t>
      </w:r>
      <w:r w:rsidRPr="00681EF8">
        <w:rPr>
          <w:rFonts w:ascii="Verdana" w:hAnsi="Verdana"/>
        </w:rPr>
        <w:t xml:space="preserve">La metodología consta de cinco pasos en los que debe actuar el/la apoderado/a del trámite. Estos pasos son: 1) determinar el valor de las pretensiones, 2) ajustar el valor de las pretensiones, 3) </w:t>
      </w:r>
      <w:r w:rsidR="004C435D" w:rsidRPr="00681EF8">
        <w:rPr>
          <w:rFonts w:ascii="Verdana" w:hAnsi="Verdana"/>
        </w:rPr>
        <w:t xml:space="preserve">cuantificar </w:t>
      </w:r>
      <w:r w:rsidRPr="00681EF8">
        <w:rPr>
          <w:rFonts w:ascii="Verdana" w:hAnsi="Verdana"/>
        </w:rPr>
        <w:t xml:space="preserve">la probabilidad de pérdida del trámite arbitral; 4) calcular el valor de la obligación contingente; y 5) </w:t>
      </w:r>
      <w:r w:rsidR="00FA66D2" w:rsidRPr="00681EF8">
        <w:rPr>
          <w:rFonts w:ascii="Verdana" w:hAnsi="Verdana"/>
        </w:rPr>
        <w:t>comunicar al área financiera el valor estimado de la obligación contingente para que este sea registrado conforme a la regulación contable pública expedida por la Contaduría General de la Nación</w:t>
      </w:r>
      <w:r w:rsidR="006E177F" w:rsidRPr="00681EF8">
        <w:rPr>
          <w:rFonts w:ascii="Verdana" w:hAnsi="Verdana"/>
        </w:rPr>
        <w:t xml:space="preserve">. </w:t>
      </w:r>
    </w:p>
    <w:p w14:paraId="70F83638" w14:textId="77777777" w:rsidR="00A703E0" w:rsidRPr="00681EF8" w:rsidRDefault="00A703E0" w:rsidP="00B64A95">
      <w:pPr>
        <w:spacing w:after="0" w:line="240" w:lineRule="auto"/>
        <w:jc w:val="both"/>
        <w:rPr>
          <w:rFonts w:ascii="Verdana" w:hAnsi="Verdana"/>
        </w:rPr>
      </w:pPr>
    </w:p>
    <w:p w14:paraId="7D44EE76" w14:textId="26AEE6DC" w:rsidR="00A703E0" w:rsidRPr="00681EF8" w:rsidRDefault="00A703E0" w:rsidP="00B64A95">
      <w:pPr>
        <w:spacing w:after="0" w:line="240" w:lineRule="auto"/>
        <w:jc w:val="both"/>
        <w:rPr>
          <w:rFonts w:ascii="Verdana" w:hAnsi="Verdana"/>
        </w:rPr>
      </w:pPr>
      <w:r w:rsidRPr="00681EF8">
        <w:rPr>
          <w:rFonts w:ascii="Verdana" w:hAnsi="Verdana"/>
          <w:b/>
        </w:rPr>
        <w:t xml:space="preserve">Parágrafo 2: </w:t>
      </w:r>
      <w:r w:rsidRPr="00681EF8">
        <w:rPr>
          <w:rFonts w:ascii="Verdana" w:hAnsi="Verdana"/>
        </w:rPr>
        <w:t xml:space="preserve">los pasos 1) determinar el valor de las pretensiones; y 2) ajustar el valor de las pretensiones deben realizarse conforme a lo mencionado en los artículos </w:t>
      </w:r>
      <w:r w:rsidR="008A2E0E" w:rsidRPr="00681EF8">
        <w:rPr>
          <w:rFonts w:ascii="Verdana" w:hAnsi="Verdana"/>
        </w:rPr>
        <w:t>8º</w:t>
      </w:r>
      <w:r w:rsidRPr="00681EF8">
        <w:rPr>
          <w:rFonts w:ascii="Verdana" w:hAnsi="Verdana"/>
        </w:rPr>
        <w:t xml:space="preserve"> y </w:t>
      </w:r>
      <w:r w:rsidR="008A2E0E" w:rsidRPr="00681EF8">
        <w:rPr>
          <w:rFonts w:ascii="Verdana" w:hAnsi="Verdana"/>
        </w:rPr>
        <w:t>9º</w:t>
      </w:r>
      <w:r w:rsidRPr="00681EF8">
        <w:rPr>
          <w:rFonts w:ascii="Verdana" w:hAnsi="Verdana"/>
        </w:rPr>
        <w:t xml:space="preserve"> de la presente Resolución.</w:t>
      </w:r>
    </w:p>
    <w:p w14:paraId="5444F16A" w14:textId="77777777" w:rsidR="006C158D" w:rsidRPr="00681EF8" w:rsidRDefault="006C158D" w:rsidP="00B64A95">
      <w:pPr>
        <w:spacing w:after="0" w:line="240" w:lineRule="auto"/>
        <w:jc w:val="both"/>
        <w:rPr>
          <w:rFonts w:ascii="Verdana" w:hAnsi="Verdana"/>
          <w:b/>
        </w:rPr>
      </w:pPr>
    </w:p>
    <w:p w14:paraId="54A4EE0B" w14:textId="551CFDE4" w:rsidR="00A703E0" w:rsidRPr="00681EF8" w:rsidRDefault="00A703E0" w:rsidP="00B64A95">
      <w:pPr>
        <w:spacing w:after="0" w:line="240" w:lineRule="auto"/>
        <w:jc w:val="both"/>
        <w:rPr>
          <w:rFonts w:ascii="Verdana" w:hAnsi="Verdana"/>
        </w:rPr>
      </w:pPr>
      <w:r w:rsidRPr="00681EF8">
        <w:rPr>
          <w:rFonts w:ascii="Verdana" w:hAnsi="Verdana"/>
          <w:b/>
        </w:rPr>
        <w:t xml:space="preserve">Artículo </w:t>
      </w:r>
      <w:r w:rsidR="006D3FF6" w:rsidRPr="00681EF8">
        <w:rPr>
          <w:rFonts w:ascii="Verdana" w:hAnsi="Verdana"/>
          <w:b/>
        </w:rPr>
        <w:t>15º</w:t>
      </w:r>
      <w:r w:rsidRPr="00681EF8">
        <w:rPr>
          <w:rFonts w:ascii="Verdana" w:hAnsi="Verdana"/>
          <w:b/>
        </w:rPr>
        <w:t xml:space="preserve">. Cálculo de la probabilidad de pérdida del trámite arbitral. </w:t>
      </w:r>
      <w:r w:rsidRPr="00681EF8">
        <w:rPr>
          <w:rFonts w:ascii="Verdana" w:hAnsi="Verdana"/>
        </w:rPr>
        <w:t>Para cada trámite el/la apoderado/a debe calificar el riesgo de pérdida del proceso, a partir de los siguientes criterios y equivalencias:</w:t>
      </w:r>
    </w:p>
    <w:p w14:paraId="564CFBC1" w14:textId="77777777" w:rsidR="00A703E0" w:rsidRPr="00681EF8" w:rsidRDefault="00A703E0" w:rsidP="00B64A95">
      <w:pPr>
        <w:spacing w:after="0" w:line="240" w:lineRule="auto"/>
        <w:jc w:val="both"/>
        <w:rPr>
          <w:rFonts w:ascii="Verdana" w:hAnsi="Verdana"/>
        </w:rPr>
      </w:pPr>
    </w:p>
    <w:p w14:paraId="6262FA32" w14:textId="33219E04" w:rsidR="00A703E0" w:rsidRPr="00681EF8" w:rsidRDefault="00A703E0" w:rsidP="00B64A95">
      <w:pPr>
        <w:pStyle w:val="Prrafodelista"/>
        <w:numPr>
          <w:ilvl w:val="0"/>
          <w:numId w:val="23"/>
        </w:numPr>
        <w:spacing w:after="0" w:line="240" w:lineRule="auto"/>
        <w:jc w:val="both"/>
        <w:rPr>
          <w:rFonts w:ascii="Verdana" w:hAnsi="Verdana"/>
        </w:rPr>
      </w:pPr>
      <w:r w:rsidRPr="00681EF8">
        <w:rPr>
          <w:rFonts w:ascii="Verdana" w:hAnsi="Verdana"/>
          <w:b/>
        </w:rPr>
        <w:t xml:space="preserve">Riesgo eventual de pérdida del proceso por relevancia jurídica de las razones de hecho y derecho expuestas por el </w:t>
      </w:r>
      <w:bookmarkStart w:id="9" w:name="_Hlk121133992"/>
      <w:r w:rsidRPr="00681EF8">
        <w:rPr>
          <w:rFonts w:ascii="Verdana" w:hAnsi="Verdana"/>
          <w:b/>
        </w:rPr>
        <w:t>convocante</w:t>
      </w:r>
      <w:bookmarkEnd w:id="9"/>
      <w:r w:rsidRPr="00681EF8">
        <w:rPr>
          <w:rFonts w:ascii="Verdana" w:hAnsi="Verdana"/>
          <w:b/>
        </w:rPr>
        <w:t xml:space="preserve">. </w:t>
      </w:r>
      <w:r w:rsidR="005A32A3" w:rsidRPr="00681EF8">
        <w:rPr>
          <w:rFonts w:ascii="Verdana" w:hAnsi="Verdana"/>
        </w:rPr>
        <w:t>S</w:t>
      </w:r>
      <w:r w:rsidRPr="00681EF8">
        <w:rPr>
          <w:rFonts w:ascii="Verdana" w:hAnsi="Verdana"/>
        </w:rPr>
        <w:t>e relaciona con la relevancia jurídica y completitud de los hechos y normas en las que se fundamenta la demanda.</w:t>
      </w:r>
    </w:p>
    <w:p w14:paraId="0A253D43" w14:textId="77777777" w:rsidR="00A703E0" w:rsidRPr="00681EF8" w:rsidRDefault="00A703E0" w:rsidP="00B64A95">
      <w:pPr>
        <w:pStyle w:val="Prrafodelista"/>
        <w:spacing w:after="0" w:line="240" w:lineRule="auto"/>
        <w:ind w:left="0"/>
        <w:jc w:val="both"/>
        <w:rPr>
          <w:rFonts w:ascii="Verdana" w:hAnsi="Verdana"/>
          <w:b/>
        </w:rPr>
      </w:pPr>
    </w:p>
    <w:p w14:paraId="51ABF8CC" w14:textId="776C8116" w:rsidR="00A703E0" w:rsidRPr="00681EF8" w:rsidRDefault="00A703E0" w:rsidP="00B64A95">
      <w:pPr>
        <w:pStyle w:val="Prrafodelista"/>
        <w:spacing w:after="0" w:line="240" w:lineRule="auto"/>
        <w:ind w:left="708"/>
        <w:jc w:val="both"/>
        <w:rPr>
          <w:rFonts w:ascii="Verdana" w:hAnsi="Verdana"/>
        </w:rPr>
      </w:pPr>
      <w:r w:rsidRPr="00681EF8">
        <w:rPr>
          <w:rFonts w:ascii="Verdana" w:hAnsi="Verdana"/>
        </w:rPr>
        <w:t>Alto:</w:t>
      </w:r>
      <w:r w:rsidRPr="00681EF8">
        <w:rPr>
          <w:rFonts w:ascii="Verdana" w:hAnsi="Verdana"/>
        </w:rPr>
        <w:tab/>
        <w:t>Existe relevancia jurídica y completitud en los hechos y normas que sustentan las pretensiones del</w:t>
      </w:r>
      <w:r w:rsidR="00822466" w:rsidRPr="00681EF8">
        <w:rPr>
          <w:rFonts w:ascii="Verdana" w:hAnsi="Verdana"/>
        </w:rPr>
        <w:t>/de la</w:t>
      </w:r>
      <w:r w:rsidRPr="00681EF8">
        <w:rPr>
          <w:rFonts w:ascii="Verdana" w:hAnsi="Verdana"/>
        </w:rPr>
        <w:t xml:space="preserve"> convocante.</w:t>
      </w:r>
    </w:p>
    <w:p w14:paraId="4D74928F" w14:textId="77777777" w:rsidR="00A703E0" w:rsidRPr="00681EF8" w:rsidRDefault="00A703E0" w:rsidP="00B64A95">
      <w:pPr>
        <w:pStyle w:val="Prrafodelista"/>
        <w:spacing w:after="0" w:line="240" w:lineRule="auto"/>
        <w:ind w:left="708"/>
        <w:jc w:val="both"/>
        <w:rPr>
          <w:rFonts w:ascii="Verdana" w:hAnsi="Verdana"/>
        </w:rPr>
      </w:pPr>
    </w:p>
    <w:p w14:paraId="0C2759BC" w14:textId="10C49904" w:rsidR="00A703E0" w:rsidRPr="00681EF8" w:rsidRDefault="00A703E0" w:rsidP="00B64A95">
      <w:pPr>
        <w:pStyle w:val="Prrafodelista"/>
        <w:spacing w:after="0" w:line="240" w:lineRule="auto"/>
        <w:ind w:left="708"/>
        <w:jc w:val="both"/>
        <w:rPr>
          <w:rFonts w:ascii="Verdana" w:hAnsi="Verdana"/>
        </w:rPr>
      </w:pPr>
      <w:r w:rsidRPr="00681EF8">
        <w:rPr>
          <w:rFonts w:ascii="Verdana" w:hAnsi="Verdana"/>
        </w:rPr>
        <w:t>Medio alto: Existen normas, pero no existen hechos ciertos y completos que sustenten las pretensiones del</w:t>
      </w:r>
      <w:r w:rsidR="00822466" w:rsidRPr="00681EF8">
        <w:rPr>
          <w:rFonts w:ascii="Verdana" w:hAnsi="Verdana"/>
        </w:rPr>
        <w:t>/de la</w:t>
      </w:r>
      <w:r w:rsidRPr="00681EF8">
        <w:rPr>
          <w:rFonts w:ascii="Verdana" w:hAnsi="Verdana"/>
        </w:rPr>
        <w:t xml:space="preserve"> convocante.</w:t>
      </w:r>
    </w:p>
    <w:p w14:paraId="5CAA3658" w14:textId="77777777" w:rsidR="00A703E0" w:rsidRPr="00681EF8" w:rsidRDefault="00A703E0" w:rsidP="00B64A95">
      <w:pPr>
        <w:pStyle w:val="Prrafodelista"/>
        <w:spacing w:after="0" w:line="240" w:lineRule="auto"/>
        <w:ind w:left="708"/>
        <w:jc w:val="both"/>
        <w:rPr>
          <w:rFonts w:ascii="Verdana" w:hAnsi="Verdana"/>
        </w:rPr>
      </w:pPr>
    </w:p>
    <w:p w14:paraId="08F3BEE4" w14:textId="550BC17C" w:rsidR="00A703E0" w:rsidRPr="00681EF8" w:rsidRDefault="00A703E0" w:rsidP="00B64A95">
      <w:pPr>
        <w:pStyle w:val="Prrafodelista"/>
        <w:spacing w:after="0" w:line="240" w:lineRule="auto"/>
        <w:ind w:left="708"/>
        <w:jc w:val="both"/>
        <w:rPr>
          <w:rFonts w:ascii="Verdana" w:hAnsi="Verdana"/>
        </w:rPr>
      </w:pPr>
      <w:r w:rsidRPr="00681EF8">
        <w:rPr>
          <w:rFonts w:ascii="Verdana" w:hAnsi="Verdana"/>
        </w:rPr>
        <w:t>Medio bajo: Existen hechos ciertos y completos, pero no existen normas que sustenten las pretensiones del</w:t>
      </w:r>
      <w:r w:rsidR="00822466" w:rsidRPr="00681EF8">
        <w:rPr>
          <w:rFonts w:ascii="Verdana" w:hAnsi="Verdana"/>
        </w:rPr>
        <w:t>/de la</w:t>
      </w:r>
      <w:r w:rsidRPr="00681EF8">
        <w:rPr>
          <w:rFonts w:ascii="Verdana" w:hAnsi="Verdana"/>
        </w:rPr>
        <w:t xml:space="preserve"> convocante.</w:t>
      </w:r>
    </w:p>
    <w:p w14:paraId="09EEDA0B" w14:textId="77777777" w:rsidR="00A703E0" w:rsidRPr="00681EF8" w:rsidRDefault="00A703E0" w:rsidP="00B64A95">
      <w:pPr>
        <w:spacing w:after="0" w:line="240" w:lineRule="auto"/>
        <w:ind w:left="708"/>
        <w:jc w:val="both"/>
        <w:rPr>
          <w:rFonts w:ascii="Verdana" w:hAnsi="Verdana"/>
        </w:rPr>
      </w:pPr>
    </w:p>
    <w:p w14:paraId="2B2F87BA" w14:textId="17B6DA6F" w:rsidR="00A703E0" w:rsidRPr="00681EF8" w:rsidRDefault="00A703E0" w:rsidP="00B64A95">
      <w:pPr>
        <w:spacing w:after="0" w:line="240" w:lineRule="auto"/>
        <w:ind w:left="708"/>
        <w:jc w:val="both"/>
        <w:rPr>
          <w:rFonts w:ascii="Verdana" w:hAnsi="Verdana"/>
        </w:rPr>
      </w:pPr>
      <w:r w:rsidRPr="00681EF8">
        <w:rPr>
          <w:rFonts w:ascii="Verdana" w:hAnsi="Verdana"/>
        </w:rPr>
        <w:t>Bajo: No existen hechos ni normas que sustenten las pretensiones del</w:t>
      </w:r>
      <w:r w:rsidR="00822466" w:rsidRPr="00681EF8">
        <w:rPr>
          <w:rFonts w:ascii="Verdana" w:hAnsi="Verdana"/>
        </w:rPr>
        <w:t>/de la</w:t>
      </w:r>
      <w:r w:rsidRPr="00681EF8">
        <w:rPr>
          <w:rFonts w:ascii="Verdana" w:hAnsi="Verdana"/>
        </w:rPr>
        <w:t xml:space="preserve"> convocante.</w:t>
      </w:r>
    </w:p>
    <w:p w14:paraId="5976B918" w14:textId="77777777" w:rsidR="00A703E0" w:rsidRPr="00681EF8" w:rsidRDefault="00A703E0" w:rsidP="00B64A95">
      <w:pPr>
        <w:spacing w:after="0" w:line="240" w:lineRule="auto"/>
        <w:jc w:val="both"/>
        <w:rPr>
          <w:rFonts w:ascii="Verdana" w:hAnsi="Verdana"/>
        </w:rPr>
      </w:pPr>
    </w:p>
    <w:p w14:paraId="3AA7B558" w14:textId="2BB7DC71" w:rsidR="00A703E0" w:rsidRPr="00681EF8" w:rsidRDefault="00A703E0" w:rsidP="00B64A95">
      <w:pPr>
        <w:pStyle w:val="Prrafodelista"/>
        <w:numPr>
          <w:ilvl w:val="0"/>
          <w:numId w:val="23"/>
        </w:numPr>
        <w:spacing w:after="0" w:line="240" w:lineRule="auto"/>
        <w:jc w:val="both"/>
        <w:rPr>
          <w:rFonts w:ascii="Verdana" w:hAnsi="Verdana"/>
        </w:rPr>
      </w:pPr>
      <w:r w:rsidRPr="00681EF8">
        <w:rPr>
          <w:rFonts w:ascii="Verdana" w:hAnsi="Verdana"/>
          <w:b/>
        </w:rPr>
        <w:t>Riesgos de pérdida del proceso asociados a la pertinencia, conducencia y utilidad de los medios probatorios que soportan la demanda</w:t>
      </w:r>
      <w:r w:rsidRPr="00681EF8" w:rsidDel="00DF3CC4">
        <w:rPr>
          <w:rFonts w:ascii="Verdana" w:hAnsi="Verdana"/>
          <w:b/>
        </w:rPr>
        <w:t>.</w:t>
      </w:r>
      <w:r w:rsidRPr="00681EF8">
        <w:rPr>
          <w:rFonts w:ascii="Verdana" w:hAnsi="Verdana"/>
          <w:b/>
        </w:rPr>
        <w:t xml:space="preserve"> </w:t>
      </w:r>
      <w:r w:rsidR="005A32A3" w:rsidRPr="00681EF8">
        <w:rPr>
          <w:rFonts w:ascii="Verdana" w:hAnsi="Verdana"/>
        </w:rPr>
        <w:t>S</w:t>
      </w:r>
      <w:r w:rsidRPr="00681EF8">
        <w:rPr>
          <w:rFonts w:ascii="Verdana" w:hAnsi="Verdana"/>
        </w:rPr>
        <w:t>e relaciona</w:t>
      </w:r>
      <w:r w:rsidRPr="00681EF8">
        <w:rPr>
          <w:rFonts w:ascii="Verdana" w:hAnsi="Verdana"/>
          <w:b/>
        </w:rPr>
        <w:t xml:space="preserve"> </w:t>
      </w:r>
      <w:r w:rsidRPr="00681EF8">
        <w:rPr>
          <w:rFonts w:ascii="Verdana" w:hAnsi="Verdana"/>
        </w:rPr>
        <w:t>con los medios probatorios que acompañan la demanda arbitral.</w:t>
      </w:r>
    </w:p>
    <w:p w14:paraId="4EE4D2D3" w14:textId="77777777" w:rsidR="00A703E0" w:rsidRPr="00681EF8" w:rsidRDefault="00A703E0" w:rsidP="00B64A95">
      <w:pPr>
        <w:pStyle w:val="Prrafodelista"/>
        <w:spacing w:after="0" w:line="240" w:lineRule="auto"/>
        <w:ind w:left="0"/>
        <w:jc w:val="both"/>
        <w:rPr>
          <w:rFonts w:ascii="Verdana" w:hAnsi="Verdana"/>
        </w:rPr>
      </w:pPr>
    </w:p>
    <w:p w14:paraId="3B78CB09" w14:textId="77777777" w:rsidR="00A703E0" w:rsidRPr="00681EF8" w:rsidRDefault="00A703E0" w:rsidP="00B64A95">
      <w:pPr>
        <w:spacing w:after="0" w:line="240" w:lineRule="auto"/>
        <w:ind w:left="708"/>
        <w:jc w:val="both"/>
        <w:rPr>
          <w:rFonts w:ascii="Verdana" w:hAnsi="Verdana"/>
        </w:rPr>
      </w:pPr>
      <w:r w:rsidRPr="00681EF8">
        <w:rPr>
          <w:rFonts w:ascii="Verdana" w:hAnsi="Verdana"/>
        </w:rPr>
        <w:t>Alto: El material probatorio aportado en la demanda es pertinente, conducente y útil para demostrar los hechos y pretensiones de la demanda</w:t>
      </w:r>
      <w:r w:rsidRPr="00681EF8" w:rsidDel="00DF3CC4">
        <w:rPr>
          <w:rFonts w:ascii="Verdana" w:hAnsi="Verdana"/>
        </w:rPr>
        <w:t>.</w:t>
      </w:r>
    </w:p>
    <w:p w14:paraId="2411DEB4" w14:textId="77777777" w:rsidR="00A703E0" w:rsidRPr="00681EF8" w:rsidRDefault="00A703E0" w:rsidP="00B64A95">
      <w:pPr>
        <w:spacing w:after="0" w:line="240" w:lineRule="auto"/>
        <w:ind w:left="708"/>
        <w:jc w:val="both"/>
        <w:rPr>
          <w:rFonts w:ascii="Verdana" w:hAnsi="Verdana"/>
        </w:rPr>
      </w:pPr>
    </w:p>
    <w:p w14:paraId="5C996F56" w14:textId="5E25D91E" w:rsidR="00A703E0" w:rsidRPr="00681EF8" w:rsidRDefault="00A703E0" w:rsidP="00B64A95">
      <w:pPr>
        <w:spacing w:after="0" w:line="240" w:lineRule="auto"/>
        <w:ind w:left="708"/>
        <w:jc w:val="both"/>
        <w:rPr>
          <w:rFonts w:ascii="Verdana" w:hAnsi="Verdana"/>
        </w:rPr>
      </w:pPr>
      <w:r w:rsidRPr="00681EF8">
        <w:rPr>
          <w:rFonts w:ascii="Verdana" w:hAnsi="Verdana"/>
        </w:rPr>
        <w:t xml:space="preserve">Medio alto: El material probatorio aportado </w:t>
      </w:r>
      <w:r w:rsidRPr="00681EF8">
        <w:rPr>
          <w:rFonts w:ascii="Verdana" w:hAnsi="Verdana"/>
          <w:lang w:val="es-MX"/>
        </w:rPr>
        <w:t>es pertinente, conducente y útil para demostrar los hechos y pretensiones de la demanda, pero no es suficiente para que el</w:t>
      </w:r>
      <w:r w:rsidR="00697795" w:rsidRPr="00681EF8">
        <w:rPr>
          <w:rFonts w:ascii="Verdana" w:hAnsi="Verdana"/>
          <w:lang w:val="es-MX"/>
        </w:rPr>
        <w:t>/la</w:t>
      </w:r>
      <w:r w:rsidRPr="00681EF8">
        <w:rPr>
          <w:rFonts w:ascii="Verdana" w:hAnsi="Verdana"/>
          <w:lang w:val="es-MX"/>
        </w:rPr>
        <w:t xml:space="preserve"> juez</w:t>
      </w:r>
      <w:r w:rsidR="00697795" w:rsidRPr="00681EF8">
        <w:rPr>
          <w:rFonts w:ascii="Verdana" w:hAnsi="Verdana"/>
          <w:lang w:val="es-MX"/>
        </w:rPr>
        <w:t>/a</w:t>
      </w:r>
      <w:r w:rsidRPr="00681EF8">
        <w:rPr>
          <w:rFonts w:ascii="Verdana" w:hAnsi="Verdana"/>
          <w:lang w:val="es-MX"/>
        </w:rPr>
        <w:t xml:space="preserve"> profiera sentencia anticipada</w:t>
      </w:r>
      <w:r w:rsidRPr="00681EF8" w:rsidDel="00DF3CC4">
        <w:rPr>
          <w:rFonts w:ascii="Verdana" w:hAnsi="Verdana"/>
        </w:rPr>
        <w:t>.</w:t>
      </w:r>
    </w:p>
    <w:p w14:paraId="05512F2E" w14:textId="77777777" w:rsidR="00A703E0" w:rsidRPr="00681EF8" w:rsidRDefault="00A703E0" w:rsidP="00B64A95">
      <w:pPr>
        <w:spacing w:after="0" w:line="240" w:lineRule="auto"/>
        <w:ind w:left="708"/>
        <w:jc w:val="both"/>
        <w:rPr>
          <w:rFonts w:ascii="Verdana" w:hAnsi="Verdana"/>
        </w:rPr>
      </w:pPr>
    </w:p>
    <w:p w14:paraId="168BB1A2" w14:textId="77777777" w:rsidR="00A703E0" w:rsidRPr="00681EF8" w:rsidRDefault="00A703E0" w:rsidP="00B64A95">
      <w:pPr>
        <w:spacing w:after="0" w:line="240" w:lineRule="auto"/>
        <w:ind w:left="708"/>
        <w:jc w:val="both"/>
        <w:rPr>
          <w:rFonts w:ascii="Verdana" w:hAnsi="Verdana"/>
        </w:rPr>
      </w:pPr>
      <w:r w:rsidRPr="00681EF8">
        <w:rPr>
          <w:rFonts w:ascii="Verdana" w:hAnsi="Verdana"/>
        </w:rPr>
        <w:t>Medio Bajo: El material probatorio aportado en la demanda es insuficiente para demostrar los hechos y pretensiones de la demanda</w:t>
      </w:r>
      <w:r w:rsidRPr="00681EF8" w:rsidDel="00DF3CC4">
        <w:rPr>
          <w:rFonts w:ascii="Verdana" w:hAnsi="Verdana"/>
        </w:rPr>
        <w:t>.</w:t>
      </w:r>
    </w:p>
    <w:p w14:paraId="082A56FE" w14:textId="77777777" w:rsidR="00A703E0" w:rsidRPr="00681EF8" w:rsidRDefault="00A703E0" w:rsidP="00B64A95">
      <w:pPr>
        <w:spacing w:after="0" w:line="240" w:lineRule="auto"/>
        <w:ind w:left="708"/>
        <w:jc w:val="both"/>
        <w:rPr>
          <w:rFonts w:ascii="Verdana" w:hAnsi="Verdana"/>
        </w:rPr>
      </w:pPr>
    </w:p>
    <w:p w14:paraId="5B57F828" w14:textId="77777777" w:rsidR="00A703E0" w:rsidRPr="00681EF8" w:rsidRDefault="00A703E0" w:rsidP="00B64A95">
      <w:pPr>
        <w:spacing w:after="0" w:line="240" w:lineRule="auto"/>
        <w:ind w:left="708"/>
        <w:jc w:val="both"/>
        <w:rPr>
          <w:rFonts w:ascii="Verdana" w:hAnsi="Verdana"/>
        </w:rPr>
      </w:pPr>
      <w:r w:rsidRPr="00681EF8">
        <w:rPr>
          <w:rFonts w:ascii="Verdana" w:hAnsi="Verdana"/>
        </w:rPr>
        <w:t xml:space="preserve">Bajo: El material probatorio aportado </w:t>
      </w:r>
      <w:r w:rsidRPr="00681EF8">
        <w:rPr>
          <w:rFonts w:ascii="Verdana" w:hAnsi="Verdana"/>
          <w:lang w:val="es-MX"/>
        </w:rPr>
        <w:t>en la demanda es inútil para demostrar los hechos y pretensiones de la demanda</w:t>
      </w:r>
      <w:r w:rsidRPr="00681EF8">
        <w:rPr>
          <w:rFonts w:ascii="Verdana" w:hAnsi="Verdana"/>
        </w:rPr>
        <w:t>.</w:t>
      </w:r>
    </w:p>
    <w:p w14:paraId="58D804F9" w14:textId="77777777" w:rsidR="00A703E0" w:rsidRPr="00681EF8" w:rsidRDefault="00A703E0" w:rsidP="00B64A95">
      <w:pPr>
        <w:spacing w:after="0" w:line="240" w:lineRule="auto"/>
        <w:jc w:val="both"/>
        <w:rPr>
          <w:rFonts w:ascii="Verdana" w:hAnsi="Verdana"/>
        </w:rPr>
      </w:pPr>
    </w:p>
    <w:p w14:paraId="7243BA9E" w14:textId="47909E7C" w:rsidR="00A703E0" w:rsidRPr="00681EF8" w:rsidRDefault="00A703E0" w:rsidP="00B64A95">
      <w:pPr>
        <w:pStyle w:val="Prrafodelista"/>
        <w:numPr>
          <w:ilvl w:val="0"/>
          <w:numId w:val="23"/>
        </w:numPr>
        <w:spacing w:after="0" w:line="240" w:lineRule="auto"/>
        <w:jc w:val="both"/>
        <w:rPr>
          <w:rFonts w:ascii="Verdana" w:hAnsi="Verdana"/>
        </w:rPr>
      </w:pPr>
      <w:r w:rsidRPr="00681EF8">
        <w:rPr>
          <w:rFonts w:ascii="Verdana" w:hAnsi="Verdana"/>
          <w:b/>
        </w:rPr>
        <w:t>Presencia de riesgos procesales y extraprocesales.</w:t>
      </w:r>
      <w:r w:rsidRPr="00681EF8">
        <w:rPr>
          <w:rFonts w:ascii="Verdana" w:hAnsi="Verdana"/>
        </w:rPr>
        <w:t xml:space="preserve"> </w:t>
      </w:r>
      <w:r w:rsidR="005A32A3" w:rsidRPr="00681EF8">
        <w:rPr>
          <w:rFonts w:ascii="Verdana" w:hAnsi="Verdana"/>
        </w:rPr>
        <w:t>S</w:t>
      </w:r>
      <w:r w:rsidRPr="00681EF8">
        <w:rPr>
          <w:rFonts w:ascii="Verdana" w:hAnsi="Verdana"/>
        </w:rPr>
        <w:t>e relaciona con los siguientes eventos que afectan la defensa del Estado:</w:t>
      </w:r>
    </w:p>
    <w:p w14:paraId="2B5B2A66" w14:textId="77777777" w:rsidR="00A703E0" w:rsidRPr="00681EF8" w:rsidRDefault="00A703E0" w:rsidP="00B64A95">
      <w:pPr>
        <w:pStyle w:val="Prrafodelista"/>
        <w:spacing w:after="0" w:line="240" w:lineRule="auto"/>
        <w:ind w:left="0"/>
        <w:jc w:val="both"/>
        <w:rPr>
          <w:rFonts w:ascii="Verdana" w:hAnsi="Verdana"/>
          <w:b/>
        </w:rPr>
      </w:pPr>
    </w:p>
    <w:p w14:paraId="63764D37" w14:textId="77777777" w:rsidR="00A703E0" w:rsidRPr="00681EF8" w:rsidRDefault="00A703E0" w:rsidP="00B64A95">
      <w:pPr>
        <w:pStyle w:val="Prrafodelista"/>
        <w:spacing w:after="0" w:line="240" w:lineRule="auto"/>
        <w:jc w:val="both"/>
        <w:rPr>
          <w:rFonts w:ascii="Verdana" w:hAnsi="Verdana"/>
        </w:rPr>
      </w:pPr>
      <w:r w:rsidRPr="00681EF8">
        <w:rPr>
          <w:rFonts w:ascii="Verdana" w:hAnsi="Verdana"/>
        </w:rPr>
        <w:t xml:space="preserve">(a) Designación de árbitros sin observancia de los lineamientos establecidos en de la Directiva Presidencial 04 de 2018 o su designación se efectuó por sorteo. </w:t>
      </w:r>
    </w:p>
    <w:p w14:paraId="4C7D1FBB" w14:textId="77777777" w:rsidR="00A703E0" w:rsidRPr="00681EF8" w:rsidRDefault="00A703E0" w:rsidP="00B64A95">
      <w:pPr>
        <w:pStyle w:val="Prrafodelista"/>
        <w:spacing w:after="0" w:line="240" w:lineRule="auto"/>
        <w:jc w:val="both"/>
        <w:rPr>
          <w:rFonts w:ascii="Verdana" w:hAnsi="Verdana"/>
        </w:rPr>
      </w:pPr>
    </w:p>
    <w:p w14:paraId="77372039" w14:textId="77777777" w:rsidR="00A703E0" w:rsidRPr="00681EF8" w:rsidRDefault="00A703E0" w:rsidP="00B64A95">
      <w:pPr>
        <w:pStyle w:val="Prrafodelista"/>
        <w:spacing w:after="0" w:line="240" w:lineRule="auto"/>
        <w:rPr>
          <w:rFonts w:ascii="Verdana" w:hAnsi="Verdana"/>
        </w:rPr>
      </w:pPr>
      <w:r w:rsidRPr="00681EF8">
        <w:rPr>
          <w:rFonts w:ascii="Verdana" w:hAnsi="Verdana"/>
          <w:lang w:val="es-ES"/>
        </w:rPr>
        <w:t>(b) Falta de conocimiento especializado por parte de los árbitros o alguno de los árbitros en la causa o subcausa del objeto de la demanda.</w:t>
      </w:r>
    </w:p>
    <w:p w14:paraId="18DC1C00" w14:textId="77777777" w:rsidR="00A703E0" w:rsidRPr="00681EF8" w:rsidRDefault="00A703E0" w:rsidP="00B64A95">
      <w:pPr>
        <w:pStyle w:val="Prrafodelista"/>
        <w:spacing w:after="0" w:line="240" w:lineRule="auto"/>
        <w:ind w:left="708"/>
        <w:jc w:val="both"/>
        <w:rPr>
          <w:rFonts w:ascii="Verdana" w:hAnsi="Verdana"/>
        </w:rPr>
      </w:pPr>
    </w:p>
    <w:p w14:paraId="4F2AF80D" w14:textId="77777777" w:rsidR="00A703E0" w:rsidRPr="00681EF8" w:rsidRDefault="00A703E0" w:rsidP="00B64A95">
      <w:pPr>
        <w:pStyle w:val="Prrafodelista"/>
        <w:spacing w:after="0" w:line="240" w:lineRule="auto"/>
        <w:ind w:left="708"/>
        <w:jc w:val="both"/>
        <w:rPr>
          <w:rFonts w:ascii="Verdana" w:hAnsi="Verdana"/>
        </w:rPr>
      </w:pPr>
      <w:r w:rsidRPr="00681EF8">
        <w:rPr>
          <w:rFonts w:ascii="Verdana" w:hAnsi="Verdana"/>
        </w:rPr>
        <w:t>(c) Presencia de conflictos de interés de alguno de los árbitros que no han sido evidentes en la revelación efectuada por los árbitros.</w:t>
      </w:r>
      <w:r w:rsidRPr="00681EF8" w:rsidDel="00DC10EB">
        <w:rPr>
          <w:rFonts w:ascii="Verdana" w:hAnsi="Verdana"/>
        </w:rPr>
        <w:t xml:space="preserve"> </w:t>
      </w:r>
    </w:p>
    <w:p w14:paraId="3E7AF293" w14:textId="77777777" w:rsidR="00A703E0" w:rsidRPr="00681EF8" w:rsidRDefault="00A703E0" w:rsidP="00B64A95">
      <w:pPr>
        <w:pStyle w:val="Prrafodelista"/>
        <w:spacing w:after="0" w:line="240" w:lineRule="auto"/>
        <w:ind w:left="708"/>
        <w:jc w:val="both"/>
        <w:rPr>
          <w:rFonts w:ascii="Verdana" w:hAnsi="Verdana"/>
          <w:lang w:val="es-ES"/>
        </w:rPr>
      </w:pPr>
    </w:p>
    <w:p w14:paraId="0DB8C1CE" w14:textId="77777777" w:rsidR="00A703E0" w:rsidRPr="00681EF8" w:rsidRDefault="00A703E0" w:rsidP="00B64A95">
      <w:pPr>
        <w:pStyle w:val="Prrafodelista"/>
        <w:spacing w:after="0" w:line="240" w:lineRule="auto"/>
        <w:ind w:left="708"/>
        <w:jc w:val="both"/>
        <w:rPr>
          <w:rFonts w:ascii="Verdana" w:hAnsi="Verdana"/>
        </w:rPr>
      </w:pPr>
      <w:r w:rsidRPr="00681EF8">
        <w:rPr>
          <w:rFonts w:ascii="Verdana" w:hAnsi="Verdana"/>
          <w:lang w:val="es-ES"/>
        </w:rPr>
        <w:t>(</w:t>
      </w:r>
      <w:r w:rsidRPr="00681EF8">
        <w:rPr>
          <w:rFonts w:ascii="Verdana" w:hAnsi="Verdana"/>
        </w:rPr>
        <w:t>d) Cambio de uno o más árbitros.</w:t>
      </w:r>
    </w:p>
    <w:p w14:paraId="03EFAB7F" w14:textId="77777777" w:rsidR="00A703E0" w:rsidRPr="00681EF8" w:rsidRDefault="00A703E0" w:rsidP="00B64A95">
      <w:pPr>
        <w:pStyle w:val="Prrafodelista"/>
        <w:spacing w:after="0" w:line="240" w:lineRule="auto"/>
        <w:ind w:left="708"/>
        <w:jc w:val="both"/>
        <w:rPr>
          <w:rFonts w:ascii="Verdana" w:hAnsi="Verdana"/>
        </w:rPr>
      </w:pPr>
    </w:p>
    <w:p w14:paraId="1C92C855" w14:textId="77777777" w:rsidR="00A703E0" w:rsidRPr="00681EF8" w:rsidRDefault="00A703E0" w:rsidP="00B64A95">
      <w:pPr>
        <w:pStyle w:val="Prrafodelista"/>
        <w:spacing w:after="0" w:line="240" w:lineRule="auto"/>
        <w:ind w:left="708"/>
        <w:jc w:val="both"/>
        <w:rPr>
          <w:rFonts w:ascii="Verdana" w:hAnsi="Verdana"/>
        </w:rPr>
      </w:pPr>
      <w:r w:rsidRPr="00681EF8">
        <w:rPr>
          <w:rFonts w:ascii="Verdana" w:hAnsi="Verdana"/>
        </w:rPr>
        <w:t>(e) Sospecha de corrupción.</w:t>
      </w:r>
    </w:p>
    <w:p w14:paraId="461C2A43" w14:textId="77777777" w:rsidR="00A703E0" w:rsidRPr="00681EF8" w:rsidRDefault="00A703E0" w:rsidP="00B64A95">
      <w:pPr>
        <w:spacing w:after="0" w:line="240" w:lineRule="auto"/>
        <w:jc w:val="both"/>
        <w:rPr>
          <w:rFonts w:ascii="Verdana" w:hAnsi="Verdana"/>
        </w:rPr>
      </w:pPr>
    </w:p>
    <w:p w14:paraId="418E2DD2" w14:textId="77777777" w:rsidR="00A703E0" w:rsidRPr="00681EF8" w:rsidRDefault="00A703E0" w:rsidP="00B64A95">
      <w:pPr>
        <w:spacing w:after="0" w:line="240" w:lineRule="auto"/>
        <w:ind w:left="708"/>
        <w:jc w:val="both"/>
        <w:rPr>
          <w:rFonts w:ascii="Verdana" w:hAnsi="Verdana"/>
        </w:rPr>
      </w:pPr>
      <w:r w:rsidRPr="00681EF8">
        <w:rPr>
          <w:rFonts w:ascii="Verdana" w:hAnsi="Verdana"/>
        </w:rPr>
        <w:t>Con base en la valoración anterior, la calificación de riesgo de este criterio debe ser realizada así:</w:t>
      </w:r>
    </w:p>
    <w:p w14:paraId="4BC569DF" w14:textId="77777777" w:rsidR="00352877" w:rsidRPr="00681EF8" w:rsidRDefault="00352877" w:rsidP="00B64A95">
      <w:pPr>
        <w:spacing w:after="0" w:line="240" w:lineRule="auto"/>
        <w:ind w:left="708"/>
        <w:jc w:val="both"/>
        <w:rPr>
          <w:rFonts w:ascii="Verdana" w:eastAsia="Times New Roman" w:hAnsi="Verdana" w:cs="Times New Roman"/>
          <w:lang w:eastAsia="es-CO"/>
        </w:rPr>
      </w:pPr>
    </w:p>
    <w:p w14:paraId="0680B732" w14:textId="1F639E87" w:rsidR="00A703E0" w:rsidRPr="00681EF8" w:rsidRDefault="00A703E0" w:rsidP="00B64A95">
      <w:pPr>
        <w:spacing w:after="0" w:line="240" w:lineRule="auto"/>
        <w:ind w:left="708"/>
        <w:jc w:val="both"/>
        <w:rPr>
          <w:rFonts w:ascii="Verdana" w:hAnsi="Verdana"/>
        </w:rPr>
      </w:pPr>
      <w:r w:rsidRPr="00681EF8">
        <w:rPr>
          <w:rFonts w:ascii="Verdana" w:hAnsi="Verdana"/>
        </w:rPr>
        <w:t xml:space="preserve">Alto: Cuando se presentan alguno de los eventos (a) y/o (b). </w:t>
      </w:r>
    </w:p>
    <w:p w14:paraId="6FC8FD23" w14:textId="77777777" w:rsidR="00352877" w:rsidRPr="00681EF8" w:rsidRDefault="00352877" w:rsidP="00B64A95">
      <w:pPr>
        <w:spacing w:after="0" w:line="240" w:lineRule="auto"/>
        <w:ind w:left="708"/>
        <w:jc w:val="both"/>
        <w:rPr>
          <w:rFonts w:ascii="Verdana" w:eastAsia="Times New Roman" w:hAnsi="Verdana" w:cs="Times New Roman"/>
          <w:lang w:eastAsia="es-CO"/>
        </w:rPr>
      </w:pPr>
    </w:p>
    <w:p w14:paraId="1300ADD7" w14:textId="6F7B7F21" w:rsidR="00A703E0" w:rsidRPr="00681EF8" w:rsidRDefault="00A703E0" w:rsidP="00B64A95">
      <w:pPr>
        <w:spacing w:after="0" w:line="240" w:lineRule="auto"/>
        <w:ind w:left="708"/>
        <w:jc w:val="both"/>
        <w:rPr>
          <w:rFonts w:ascii="Verdana" w:hAnsi="Verdana"/>
        </w:rPr>
      </w:pPr>
      <w:r w:rsidRPr="00681EF8">
        <w:rPr>
          <w:rFonts w:ascii="Verdana" w:hAnsi="Verdana"/>
        </w:rPr>
        <w:t>Medio Alto: Cuando se presenta solamente el evento (c).</w:t>
      </w:r>
    </w:p>
    <w:p w14:paraId="0DA55643" w14:textId="77777777" w:rsidR="00352877" w:rsidRPr="00681EF8" w:rsidRDefault="00352877" w:rsidP="00B64A95">
      <w:pPr>
        <w:spacing w:after="0" w:line="240" w:lineRule="auto"/>
        <w:ind w:left="708"/>
        <w:jc w:val="both"/>
        <w:rPr>
          <w:rFonts w:ascii="Verdana" w:eastAsia="Times New Roman" w:hAnsi="Verdana" w:cs="Times New Roman"/>
          <w:lang w:eastAsia="es-CO"/>
        </w:rPr>
      </w:pPr>
    </w:p>
    <w:p w14:paraId="1C19DF2F" w14:textId="0CA41424" w:rsidR="00A703E0" w:rsidRPr="00681EF8" w:rsidRDefault="00A703E0" w:rsidP="00B64A95">
      <w:pPr>
        <w:spacing w:after="0" w:line="240" w:lineRule="auto"/>
        <w:ind w:left="708"/>
        <w:jc w:val="both"/>
        <w:rPr>
          <w:rFonts w:ascii="Verdana" w:hAnsi="Verdana"/>
        </w:rPr>
      </w:pPr>
      <w:r w:rsidRPr="00681EF8">
        <w:rPr>
          <w:rFonts w:ascii="Verdana" w:hAnsi="Verdana"/>
        </w:rPr>
        <w:t xml:space="preserve">Medio Bajo: Cuando se presenta alguno de los eventos (d) y/o (e). </w:t>
      </w:r>
    </w:p>
    <w:p w14:paraId="46D64F8D" w14:textId="77777777" w:rsidR="00352877" w:rsidRPr="00681EF8" w:rsidRDefault="00352877" w:rsidP="00B64A95">
      <w:pPr>
        <w:spacing w:after="0" w:line="240" w:lineRule="auto"/>
        <w:ind w:left="708"/>
        <w:rPr>
          <w:rFonts w:ascii="Verdana" w:eastAsia="Times New Roman" w:hAnsi="Verdana" w:cs="Times New Roman"/>
          <w:lang w:eastAsia="es-CO"/>
        </w:rPr>
      </w:pPr>
    </w:p>
    <w:p w14:paraId="621D8BA7" w14:textId="1AEB1020" w:rsidR="00E4770D" w:rsidRPr="00681EF8" w:rsidRDefault="00A703E0" w:rsidP="00B64A95">
      <w:pPr>
        <w:spacing w:after="0" w:line="240" w:lineRule="auto"/>
        <w:ind w:left="708"/>
        <w:rPr>
          <w:rFonts w:ascii="Verdana" w:hAnsi="Verdana"/>
        </w:rPr>
      </w:pPr>
      <w:r w:rsidRPr="00681EF8">
        <w:rPr>
          <w:rFonts w:ascii="Verdana" w:hAnsi="Verdana"/>
        </w:rPr>
        <w:t>Bajo: Cuando no se presenta ningún evento.</w:t>
      </w:r>
    </w:p>
    <w:p w14:paraId="488B55A2" w14:textId="77777777" w:rsidR="00352877" w:rsidRPr="00681EF8" w:rsidRDefault="00352877" w:rsidP="00B64A95">
      <w:pPr>
        <w:spacing w:after="0" w:line="240" w:lineRule="auto"/>
        <w:ind w:left="708"/>
        <w:rPr>
          <w:rFonts w:ascii="Verdana" w:hAnsi="Verdana"/>
        </w:rPr>
      </w:pPr>
    </w:p>
    <w:p w14:paraId="19E4B27F" w14:textId="121CE72C" w:rsidR="00A703E0" w:rsidRPr="00681EF8" w:rsidRDefault="00A703E0" w:rsidP="00B64A95">
      <w:pPr>
        <w:pStyle w:val="Prrafodelista"/>
        <w:numPr>
          <w:ilvl w:val="0"/>
          <w:numId w:val="23"/>
        </w:numPr>
        <w:spacing w:after="0" w:line="240" w:lineRule="auto"/>
        <w:jc w:val="both"/>
        <w:rPr>
          <w:rFonts w:ascii="Verdana" w:hAnsi="Verdana"/>
        </w:rPr>
      </w:pPr>
      <w:r w:rsidRPr="00681EF8">
        <w:rPr>
          <w:rFonts w:ascii="Verdana" w:hAnsi="Verdana"/>
          <w:b/>
        </w:rPr>
        <w:t>Riesgo de pérdida del proceso asociado al precedente.</w:t>
      </w:r>
      <w:r w:rsidRPr="00681EF8">
        <w:rPr>
          <w:rFonts w:ascii="Verdana" w:hAnsi="Verdana"/>
        </w:rPr>
        <w:t xml:space="preserve"> </w:t>
      </w:r>
      <w:r w:rsidR="005A32A3" w:rsidRPr="00681EF8">
        <w:rPr>
          <w:rFonts w:ascii="Verdana" w:hAnsi="Verdana"/>
        </w:rPr>
        <w:t>M</w:t>
      </w:r>
      <w:r w:rsidRPr="00681EF8">
        <w:rPr>
          <w:rFonts w:ascii="Verdana" w:hAnsi="Verdana"/>
        </w:rPr>
        <w:t>uestra a incidencia de los precedentes arbitrales y jurisprudenciales respecto de un proceso y que afirma la posición de la parte convocante.</w:t>
      </w:r>
    </w:p>
    <w:p w14:paraId="75A06768" w14:textId="77777777" w:rsidR="00A703E0" w:rsidRPr="00681EF8" w:rsidRDefault="00A703E0" w:rsidP="00B64A95">
      <w:pPr>
        <w:spacing w:after="0" w:line="240" w:lineRule="auto"/>
        <w:jc w:val="both"/>
        <w:rPr>
          <w:rFonts w:ascii="Verdana" w:hAnsi="Verdana"/>
        </w:rPr>
      </w:pPr>
    </w:p>
    <w:p w14:paraId="25AC069B" w14:textId="77777777" w:rsidR="00A703E0" w:rsidRPr="00681EF8" w:rsidRDefault="00A703E0" w:rsidP="00B64A95">
      <w:pPr>
        <w:spacing w:after="0" w:line="240" w:lineRule="auto"/>
        <w:ind w:left="708"/>
        <w:jc w:val="both"/>
        <w:rPr>
          <w:rFonts w:ascii="Verdana" w:hAnsi="Verdana"/>
        </w:rPr>
      </w:pPr>
      <w:r w:rsidRPr="00681EF8">
        <w:rPr>
          <w:rFonts w:ascii="Verdana" w:hAnsi="Verdana"/>
        </w:rPr>
        <w:t xml:space="preserve">Alto: Existen suficientes fallos desfavorables para los intereses del Estado respecto de la causa o subcausa objeto de litigio; principalmente en precedentes arbitrales y jurisprudenciales. </w:t>
      </w:r>
    </w:p>
    <w:p w14:paraId="53862BAB" w14:textId="77777777" w:rsidR="00A703E0" w:rsidRPr="00681EF8" w:rsidRDefault="00A703E0" w:rsidP="00B64A95">
      <w:pPr>
        <w:spacing w:after="0" w:line="240" w:lineRule="auto"/>
        <w:ind w:left="708"/>
        <w:jc w:val="both"/>
        <w:rPr>
          <w:rFonts w:ascii="Verdana" w:hAnsi="Verdana"/>
        </w:rPr>
      </w:pPr>
    </w:p>
    <w:p w14:paraId="5D462446" w14:textId="77777777" w:rsidR="00A703E0" w:rsidRPr="00681EF8" w:rsidRDefault="00A703E0" w:rsidP="00B64A95">
      <w:pPr>
        <w:pStyle w:val="Prrafodelista"/>
        <w:spacing w:after="0" w:line="240" w:lineRule="auto"/>
        <w:jc w:val="both"/>
        <w:rPr>
          <w:rFonts w:ascii="Verdana" w:hAnsi="Verdana"/>
        </w:rPr>
      </w:pPr>
      <w:r w:rsidRPr="00681EF8">
        <w:rPr>
          <w:rFonts w:ascii="Verdana" w:hAnsi="Verdana"/>
        </w:rPr>
        <w:t>Medio Alto: No es existen precedentes arbitrales o jurisprudenciales, pero si posiciones doctrinales.</w:t>
      </w:r>
    </w:p>
    <w:p w14:paraId="66EA7382" w14:textId="77777777" w:rsidR="00A703E0" w:rsidRPr="00681EF8" w:rsidRDefault="00A703E0" w:rsidP="00B64A95">
      <w:pPr>
        <w:pStyle w:val="Prrafodelista"/>
        <w:spacing w:after="0" w:line="240" w:lineRule="auto"/>
        <w:jc w:val="both"/>
        <w:rPr>
          <w:rFonts w:ascii="Verdana" w:hAnsi="Verdana"/>
        </w:rPr>
      </w:pPr>
    </w:p>
    <w:p w14:paraId="4B5E3983" w14:textId="77777777" w:rsidR="00A703E0" w:rsidRPr="00681EF8" w:rsidRDefault="00A703E0" w:rsidP="00B64A95">
      <w:pPr>
        <w:pStyle w:val="Prrafodelista"/>
        <w:spacing w:after="0" w:line="240" w:lineRule="auto"/>
        <w:jc w:val="both"/>
        <w:rPr>
          <w:rFonts w:ascii="Verdana" w:hAnsi="Verdana"/>
        </w:rPr>
      </w:pPr>
      <w:r w:rsidRPr="00681EF8">
        <w:rPr>
          <w:rFonts w:ascii="Verdana" w:hAnsi="Verdana"/>
        </w:rPr>
        <w:t xml:space="preserve">Bajo: No existe ningún precedente arbitral, jurisprudencial ni posición doctrinal desfavorable a los intereses del Estado.  </w:t>
      </w:r>
      <w:r w:rsidRPr="00681EF8">
        <w:rPr>
          <w:rFonts w:ascii="Verdana" w:hAnsi="Verdana"/>
        </w:rPr>
        <w:br/>
      </w:r>
    </w:p>
    <w:p w14:paraId="50B52E61" w14:textId="639EDB0B" w:rsidR="00FA66D2" w:rsidRPr="00681EF8" w:rsidRDefault="00FA66D2" w:rsidP="00B64A95">
      <w:pPr>
        <w:spacing w:after="0" w:line="240" w:lineRule="auto"/>
        <w:jc w:val="both"/>
        <w:rPr>
          <w:rFonts w:ascii="Verdana" w:hAnsi="Verdana"/>
        </w:rPr>
      </w:pPr>
      <w:r w:rsidRPr="00681EF8">
        <w:rPr>
          <w:rFonts w:ascii="Verdana" w:hAnsi="Verdana"/>
          <w:b/>
        </w:rPr>
        <w:t>Parágrafo:</w:t>
      </w:r>
      <w:r w:rsidRPr="00681EF8">
        <w:rPr>
          <w:rFonts w:ascii="Verdana" w:hAnsi="Verdana"/>
        </w:rPr>
        <w:t xml:space="preserve"> Después de realizar la calificación de los cuatro criterios, la </w:t>
      </w:r>
      <w:r w:rsidR="00E930F6" w:rsidRPr="00681EF8">
        <w:rPr>
          <w:rFonts w:ascii="Verdana" w:hAnsi="Verdana"/>
        </w:rPr>
        <w:t>Herramienta de Ayuda</w:t>
      </w:r>
      <w:r w:rsidRPr="00681EF8">
        <w:rPr>
          <w:rStyle w:val="Refdenotaalpie"/>
          <w:rFonts w:ascii="Verdana" w:hAnsi="Verdana"/>
        </w:rPr>
        <w:footnoteReference w:id="11"/>
      </w:r>
      <w:r w:rsidRPr="00681EF8">
        <w:rPr>
          <w:rFonts w:ascii="Verdana" w:hAnsi="Verdana"/>
        </w:rPr>
        <w:t xml:space="preserve"> arrojará un porcentaje con la probabilidad de pérdida del proceso.</w:t>
      </w:r>
    </w:p>
    <w:p w14:paraId="068714A1" w14:textId="77777777" w:rsidR="006C158D" w:rsidRPr="00681EF8" w:rsidRDefault="006C158D" w:rsidP="00B64A95">
      <w:pPr>
        <w:spacing w:after="0" w:line="240" w:lineRule="auto"/>
        <w:jc w:val="both"/>
        <w:rPr>
          <w:rFonts w:ascii="Verdana" w:hAnsi="Verdana"/>
          <w:b/>
        </w:rPr>
      </w:pPr>
    </w:p>
    <w:p w14:paraId="531B2FC5" w14:textId="64D1C76E" w:rsidR="00A703E0" w:rsidRPr="00681EF8" w:rsidRDefault="00A703E0" w:rsidP="00B64A95">
      <w:pPr>
        <w:spacing w:after="0" w:line="240" w:lineRule="auto"/>
        <w:jc w:val="both"/>
        <w:rPr>
          <w:rFonts w:ascii="Verdana" w:hAnsi="Verdana"/>
          <w:b/>
        </w:rPr>
      </w:pPr>
      <w:r w:rsidRPr="00681EF8">
        <w:rPr>
          <w:rFonts w:ascii="Verdana" w:hAnsi="Verdana"/>
          <w:b/>
        </w:rPr>
        <w:t xml:space="preserve">Artículo </w:t>
      </w:r>
      <w:r w:rsidR="006D3FF6" w:rsidRPr="00681EF8">
        <w:rPr>
          <w:rFonts w:ascii="Verdana" w:hAnsi="Verdana"/>
          <w:b/>
        </w:rPr>
        <w:t>16º</w:t>
      </w:r>
      <w:r w:rsidRPr="00681EF8">
        <w:rPr>
          <w:rFonts w:ascii="Verdana" w:hAnsi="Verdana"/>
          <w:b/>
        </w:rPr>
        <w:t xml:space="preserve">. Cálculo del valor futuro y presente de la pretensión. </w:t>
      </w:r>
      <w:r w:rsidR="000714E3" w:rsidRPr="00681EF8">
        <w:rPr>
          <w:rFonts w:ascii="Verdana" w:hAnsi="Verdana"/>
        </w:rPr>
        <w:t xml:space="preserve">Para </w:t>
      </w:r>
      <w:bookmarkStart w:id="10" w:name="_Hlk168922696"/>
      <w:r w:rsidR="000714E3" w:rsidRPr="00681EF8">
        <w:rPr>
          <w:rFonts w:ascii="Verdana" w:hAnsi="Verdana"/>
        </w:rPr>
        <w:t>calcular el valor futuro y presente del valor total de las pretensiones</w:t>
      </w:r>
      <w:bookmarkEnd w:id="10"/>
      <w:r w:rsidRPr="00681EF8">
        <w:rPr>
          <w:rFonts w:ascii="Verdana" w:hAnsi="Verdana"/>
        </w:rPr>
        <w:t xml:space="preserve"> debe tener en cuenta lo indicado en el artículo </w:t>
      </w:r>
      <w:r w:rsidR="00004E60" w:rsidRPr="00681EF8">
        <w:rPr>
          <w:rFonts w:ascii="Verdana" w:hAnsi="Verdana"/>
        </w:rPr>
        <w:t xml:space="preserve">11º </w:t>
      </w:r>
      <w:r w:rsidRPr="00681EF8">
        <w:rPr>
          <w:rFonts w:ascii="Verdana" w:hAnsi="Verdana"/>
        </w:rPr>
        <w:t>de la presente Resolución.</w:t>
      </w:r>
    </w:p>
    <w:p w14:paraId="32DA05DF" w14:textId="77777777" w:rsidR="006C158D" w:rsidRPr="00681EF8" w:rsidRDefault="006C158D" w:rsidP="00B64A95">
      <w:pPr>
        <w:spacing w:after="0" w:line="240" w:lineRule="auto"/>
        <w:jc w:val="both"/>
        <w:rPr>
          <w:rFonts w:ascii="Verdana" w:hAnsi="Verdana"/>
          <w:b/>
        </w:rPr>
      </w:pPr>
    </w:p>
    <w:p w14:paraId="191A3304" w14:textId="5771B056" w:rsidR="00A703E0" w:rsidRPr="00681EF8" w:rsidRDefault="00A703E0" w:rsidP="00B64A95">
      <w:pPr>
        <w:spacing w:after="0" w:line="240" w:lineRule="auto"/>
        <w:jc w:val="both"/>
        <w:rPr>
          <w:rFonts w:ascii="Verdana" w:hAnsi="Verdana"/>
        </w:rPr>
      </w:pPr>
      <w:r w:rsidRPr="00681EF8">
        <w:rPr>
          <w:rFonts w:ascii="Verdana" w:hAnsi="Verdana"/>
          <w:b/>
        </w:rPr>
        <w:t xml:space="preserve">Artículo </w:t>
      </w:r>
      <w:r w:rsidR="006D3FF6" w:rsidRPr="00681EF8">
        <w:rPr>
          <w:rFonts w:ascii="Verdana" w:hAnsi="Verdana"/>
          <w:b/>
        </w:rPr>
        <w:t>17º</w:t>
      </w:r>
      <w:r w:rsidRPr="00681EF8">
        <w:rPr>
          <w:rFonts w:ascii="Verdana" w:hAnsi="Verdana"/>
          <w:b/>
        </w:rPr>
        <w:t>. Registro del valor estimado de la obligación contingente en los trámites arbitrales.</w:t>
      </w:r>
      <w:r w:rsidRPr="00681EF8">
        <w:rPr>
          <w:rFonts w:ascii="Verdana" w:hAnsi="Verdana"/>
        </w:rPr>
        <w:t xml:space="preserve"> Teniendo en cuenta la probabilidad de pérdida del trámite (conforme a lo indicado en el parágrafo del artículo 15o), el/la apoderado/a debe </w:t>
      </w:r>
      <w:r w:rsidR="004A6C4D" w:rsidRPr="00681EF8">
        <w:rPr>
          <w:rFonts w:ascii="Verdana" w:eastAsia="Times New Roman" w:hAnsi="Verdana" w:cs="Times New Roman"/>
          <w:lang w:eastAsia="es-CO"/>
        </w:rPr>
        <w:t>informar al área financiera</w:t>
      </w:r>
      <w:r w:rsidR="004A6C4D" w:rsidRPr="00681EF8">
        <w:rPr>
          <w:rFonts w:ascii="Verdana" w:hAnsi="Verdana"/>
        </w:rPr>
        <w:t xml:space="preserve"> el </w:t>
      </w:r>
      <w:r w:rsidR="00827D80" w:rsidRPr="00681EF8">
        <w:rPr>
          <w:rFonts w:ascii="Verdana" w:hAnsi="Verdana"/>
        </w:rPr>
        <w:t>resultado del procedimiento</w:t>
      </w:r>
      <w:r w:rsidR="004A6C4D" w:rsidRPr="00681EF8">
        <w:rPr>
          <w:rFonts w:ascii="Verdana" w:hAnsi="Verdana"/>
        </w:rPr>
        <w:t xml:space="preserve"> como se indica a continuación:</w:t>
      </w:r>
    </w:p>
    <w:p w14:paraId="231061B0" w14:textId="77777777" w:rsidR="00FA0018" w:rsidRPr="00681EF8" w:rsidRDefault="00FA0018" w:rsidP="00B64A95">
      <w:pPr>
        <w:spacing w:after="0" w:line="240" w:lineRule="auto"/>
        <w:jc w:val="both"/>
        <w:rPr>
          <w:rFonts w:ascii="Verdana" w:hAnsi="Verdana"/>
        </w:rPr>
      </w:pPr>
    </w:p>
    <w:p w14:paraId="1D23DF52" w14:textId="4390C5BA" w:rsidR="00A703E0" w:rsidRPr="00681EF8" w:rsidRDefault="00A703E0" w:rsidP="00B64A95">
      <w:pPr>
        <w:pStyle w:val="Prrafodelista"/>
        <w:numPr>
          <w:ilvl w:val="0"/>
          <w:numId w:val="30"/>
        </w:numPr>
        <w:spacing w:after="0" w:line="240" w:lineRule="auto"/>
        <w:jc w:val="both"/>
        <w:rPr>
          <w:rFonts w:ascii="Verdana" w:hAnsi="Verdana"/>
        </w:rPr>
      </w:pPr>
      <w:r w:rsidRPr="00681EF8">
        <w:rPr>
          <w:rFonts w:ascii="Verdana" w:hAnsi="Verdana"/>
        </w:rPr>
        <w:t>Si la probabilidad de pérdida se califica como ALTA (más del 50%), el/la apoderado/a comunicará al área financiera el valor presente calculado en el artículo 16° para que este sea registrado como provisión contable, conforme a la regulación contable pública expedida por la Contaduría General de la Nación. Adicionalmente, comunicará al área financiera la tasa de los TES aplicada en la medición de la provisión contable para que se tenga en cuenta en la actualización financiera de la provisión, conforme a la regulación contable pública expedida por la Contaduría General de la Nación.</w:t>
      </w:r>
    </w:p>
    <w:p w14:paraId="043B0F7B" w14:textId="77777777" w:rsidR="00A703E0" w:rsidRPr="00681EF8" w:rsidRDefault="00A703E0" w:rsidP="00B64A95">
      <w:pPr>
        <w:pStyle w:val="Prrafodelista"/>
        <w:spacing w:after="0" w:line="240" w:lineRule="auto"/>
        <w:ind w:left="360"/>
        <w:jc w:val="both"/>
        <w:rPr>
          <w:rFonts w:ascii="Verdana" w:hAnsi="Verdana"/>
        </w:rPr>
      </w:pPr>
    </w:p>
    <w:p w14:paraId="0918F618" w14:textId="23FE3E93" w:rsidR="00A703E0" w:rsidRPr="00681EF8" w:rsidRDefault="00A703E0" w:rsidP="00B64A95">
      <w:pPr>
        <w:pStyle w:val="Prrafodelista"/>
        <w:numPr>
          <w:ilvl w:val="0"/>
          <w:numId w:val="30"/>
        </w:numPr>
        <w:spacing w:after="0" w:line="240" w:lineRule="auto"/>
        <w:jc w:val="both"/>
        <w:rPr>
          <w:rFonts w:ascii="Verdana" w:hAnsi="Verdana"/>
        </w:rPr>
      </w:pPr>
      <w:r w:rsidRPr="00681EF8">
        <w:rPr>
          <w:rFonts w:ascii="Verdana" w:hAnsi="Verdana"/>
        </w:rPr>
        <w:t>Si la probabilidad de pérdida se califica como MEDIA (superior al 25% y menor o igual al 50%), el/la apoderado/a comunicará al área financiera el valor de las pretensiones ajustado para que sea registrado como pasivo contingente en las cuentas de orden, conforme a la regulación contable pública expedida por la Contaduría General de la Nación.</w:t>
      </w:r>
    </w:p>
    <w:p w14:paraId="1C7C60D2" w14:textId="77777777" w:rsidR="00A703E0" w:rsidRPr="00681EF8" w:rsidRDefault="00A703E0" w:rsidP="00B64A95">
      <w:pPr>
        <w:pStyle w:val="Prrafodelista"/>
        <w:spacing w:after="0" w:line="240" w:lineRule="auto"/>
        <w:ind w:left="360"/>
        <w:jc w:val="both"/>
        <w:rPr>
          <w:rFonts w:ascii="Verdana" w:hAnsi="Verdana"/>
        </w:rPr>
      </w:pPr>
    </w:p>
    <w:p w14:paraId="6A9B2816" w14:textId="6BB3443F" w:rsidR="00A703E0" w:rsidRPr="00681EF8" w:rsidRDefault="00A703E0" w:rsidP="00B64A95">
      <w:pPr>
        <w:pStyle w:val="Prrafodelista"/>
        <w:numPr>
          <w:ilvl w:val="0"/>
          <w:numId w:val="30"/>
        </w:numPr>
        <w:spacing w:after="0" w:line="240" w:lineRule="auto"/>
        <w:jc w:val="both"/>
        <w:rPr>
          <w:rFonts w:ascii="Verdana" w:hAnsi="Verdana"/>
        </w:rPr>
      </w:pPr>
      <w:r w:rsidRPr="00681EF8">
        <w:rPr>
          <w:rFonts w:ascii="Verdana" w:hAnsi="Verdana"/>
        </w:rPr>
        <w:t>Si la probabilidad de pérdida se califica como BAJA (superior al 10% y menor o igual al 25%), el/la apoderado/a comunicará al área financiera el valor de las pretensiones ajustado para que sea registrado como pasivo contingente en las cuentas de orden, conforme a la regulación contable pública expedida por la Contaduría General de la Nación.</w:t>
      </w:r>
    </w:p>
    <w:p w14:paraId="1DA5AA1F" w14:textId="77777777" w:rsidR="00A703E0" w:rsidRPr="00681EF8" w:rsidRDefault="00A703E0" w:rsidP="00B64A95">
      <w:pPr>
        <w:pStyle w:val="Prrafodelista"/>
        <w:spacing w:after="0" w:line="240" w:lineRule="auto"/>
        <w:ind w:left="360"/>
        <w:jc w:val="both"/>
        <w:rPr>
          <w:rFonts w:ascii="Verdana" w:hAnsi="Verdana"/>
        </w:rPr>
      </w:pPr>
    </w:p>
    <w:p w14:paraId="777C31F6" w14:textId="153D40FE" w:rsidR="00A703E0" w:rsidRPr="00681EF8" w:rsidRDefault="00A703E0" w:rsidP="00B64A95">
      <w:pPr>
        <w:pStyle w:val="Prrafodelista"/>
        <w:numPr>
          <w:ilvl w:val="0"/>
          <w:numId w:val="30"/>
        </w:numPr>
        <w:spacing w:after="0" w:line="240" w:lineRule="auto"/>
        <w:jc w:val="both"/>
        <w:rPr>
          <w:rFonts w:ascii="Verdana" w:hAnsi="Verdana"/>
          <w:b/>
        </w:rPr>
      </w:pPr>
      <w:r w:rsidRPr="00681EF8">
        <w:rPr>
          <w:rFonts w:ascii="Verdana" w:hAnsi="Verdana"/>
        </w:rPr>
        <w:t>Si la probabilidad de pérdida es REMOTA (menor o igual al 10%), el/la apoderado/a comunicará al área financiera la probabilidad para lo pertinente, conforme a la regulación contable pública expedida por la Contaduría General de la Nación.</w:t>
      </w:r>
    </w:p>
    <w:p w14:paraId="7295AE3D" w14:textId="77777777" w:rsidR="00A703E0" w:rsidRPr="00681EF8" w:rsidRDefault="00A703E0" w:rsidP="00B64A95">
      <w:pPr>
        <w:spacing w:after="0" w:line="240" w:lineRule="auto"/>
        <w:jc w:val="both"/>
        <w:rPr>
          <w:rFonts w:ascii="Verdana" w:hAnsi="Verdana"/>
          <w:b/>
        </w:rPr>
      </w:pPr>
    </w:p>
    <w:p w14:paraId="75EAA9C3" w14:textId="77777777" w:rsidR="006C158D" w:rsidRPr="00681EF8" w:rsidRDefault="006C158D" w:rsidP="00B64A95">
      <w:pPr>
        <w:spacing w:after="0" w:line="240" w:lineRule="auto"/>
        <w:jc w:val="both"/>
        <w:rPr>
          <w:rFonts w:ascii="Verdana" w:hAnsi="Verdana"/>
          <w:b/>
        </w:rPr>
      </w:pPr>
    </w:p>
    <w:p w14:paraId="734A4E5F" w14:textId="77777777" w:rsidR="00A703E0" w:rsidRPr="00681EF8" w:rsidRDefault="00A703E0" w:rsidP="00B64A95">
      <w:pPr>
        <w:spacing w:after="0" w:line="240" w:lineRule="auto"/>
        <w:jc w:val="center"/>
        <w:rPr>
          <w:rFonts w:ascii="Verdana" w:hAnsi="Verdana"/>
          <w:b/>
        </w:rPr>
      </w:pPr>
      <w:r w:rsidRPr="00681EF8">
        <w:rPr>
          <w:rFonts w:ascii="Verdana" w:hAnsi="Verdana"/>
          <w:b/>
        </w:rPr>
        <w:t>CAPÍTULO V</w:t>
      </w:r>
    </w:p>
    <w:p w14:paraId="04AD883A" w14:textId="77777777" w:rsidR="00A703E0" w:rsidRPr="00681EF8" w:rsidRDefault="00A703E0" w:rsidP="00B64A95">
      <w:pPr>
        <w:spacing w:after="0" w:line="240" w:lineRule="auto"/>
        <w:jc w:val="center"/>
        <w:rPr>
          <w:rFonts w:ascii="Verdana" w:hAnsi="Verdana"/>
          <w:b/>
        </w:rPr>
      </w:pPr>
      <w:r w:rsidRPr="00681EF8">
        <w:rPr>
          <w:rFonts w:ascii="Verdana" w:hAnsi="Verdana"/>
          <w:b/>
        </w:rPr>
        <w:t>OTRAS DISPOSICIONES</w:t>
      </w:r>
    </w:p>
    <w:p w14:paraId="104FDA56" w14:textId="77777777" w:rsidR="00A703E0" w:rsidRPr="00681EF8" w:rsidRDefault="00A703E0" w:rsidP="00B64A95">
      <w:pPr>
        <w:spacing w:after="0" w:line="240" w:lineRule="auto"/>
        <w:jc w:val="both"/>
        <w:rPr>
          <w:rFonts w:ascii="Verdana" w:hAnsi="Verdana"/>
          <w:b/>
        </w:rPr>
      </w:pPr>
    </w:p>
    <w:p w14:paraId="6277D0BC" w14:textId="187280D7" w:rsidR="00A703E0" w:rsidRPr="00681EF8" w:rsidRDefault="00A703E0" w:rsidP="00B64A95">
      <w:pPr>
        <w:spacing w:after="0" w:line="240" w:lineRule="auto"/>
        <w:jc w:val="both"/>
        <w:rPr>
          <w:rFonts w:ascii="Verdana" w:hAnsi="Verdana"/>
        </w:rPr>
      </w:pPr>
      <w:r w:rsidRPr="00681EF8">
        <w:rPr>
          <w:rFonts w:ascii="Verdana" w:hAnsi="Verdana"/>
          <w:b/>
        </w:rPr>
        <w:t xml:space="preserve">Artículo </w:t>
      </w:r>
      <w:r w:rsidR="006D3FF6" w:rsidRPr="00681EF8">
        <w:rPr>
          <w:rFonts w:ascii="Verdana" w:hAnsi="Verdana"/>
          <w:b/>
        </w:rPr>
        <w:t>18º</w:t>
      </w:r>
      <w:r w:rsidRPr="00681EF8">
        <w:rPr>
          <w:rFonts w:ascii="Verdana" w:hAnsi="Verdana"/>
          <w:b/>
        </w:rPr>
        <w:t xml:space="preserve">. Informar al área financiera. </w:t>
      </w:r>
      <w:r w:rsidRPr="00681EF8">
        <w:rPr>
          <w:rFonts w:ascii="Verdana" w:hAnsi="Verdana"/>
        </w:rPr>
        <w:t>Siempre que sea realizado el procedimiento para el cálculo de la obligación contingente, el/la apoderado/a del proceso debe informar al encargado del área financiera sobre el valor a registrar como provisión contable o como pasivo contingente.</w:t>
      </w:r>
    </w:p>
    <w:p w14:paraId="47E16CE4" w14:textId="77777777" w:rsidR="00A703E0" w:rsidRPr="00681EF8" w:rsidRDefault="00A703E0" w:rsidP="00B64A95">
      <w:pPr>
        <w:spacing w:after="0" w:line="240" w:lineRule="auto"/>
        <w:rPr>
          <w:rFonts w:ascii="Verdana" w:hAnsi="Verdana"/>
          <w:b/>
        </w:rPr>
      </w:pPr>
    </w:p>
    <w:p w14:paraId="2E1B3967" w14:textId="1A627708" w:rsidR="00A703E0" w:rsidRPr="00681EF8" w:rsidRDefault="00A703E0" w:rsidP="00B64A95">
      <w:pPr>
        <w:spacing w:after="0" w:line="240" w:lineRule="auto"/>
        <w:rPr>
          <w:rFonts w:ascii="Verdana" w:hAnsi="Verdana"/>
        </w:rPr>
      </w:pPr>
      <w:r w:rsidRPr="00681EF8">
        <w:rPr>
          <w:rFonts w:ascii="Verdana" w:hAnsi="Verdana"/>
          <w:b/>
        </w:rPr>
        <w:t xml:space="preserve">Artículo </w:t>
      </w:r>
      <w:r w:rsidR="006D3FF6" w:rsidRPr="00681EF8">
        <w:rPr>
          <w:rFonts w:ascii="Verdana" w:hAnsi="Verdana"/>
          <w:b/>
        </w:rPr>
        <w:t>19º</w:t>
      </w:r>
      <w:r w:rsidRPr="00681EF8">
        <w:rPr>
          <w:rFonts w:ascii="Verdana" w:hAnsi="Verdana"/>
          <w:b/>
        </w:rPr>
        <w:t xml:space="preserve">. </w:t>
      </w:r>
      <w:r w:rsidRPr="00681EF8">
        <w:rPr>
          <w:rFonts w:ascii="Verdana" w:hAnsi="Verdana"/>
        </w:rPr>
        <w:t>Publíquese en la página web de la entidad.</w:t>
      </w:r>
    </w:p>
    <w:p w14:paraId="6575DE56" w14:textId="77777777" w:rsidR="00A703E0" w:rsidRPr="00681EF8" w:rsidRDefault="00A703E0" w:rsidP="00B64A95">
      <w:pPr>
        <w:spacing w:after="0" w:line="240" w:lineRule="auto"/>
        <w:rPr>
          <w:rFonts w:ascii="Verdana" w:hAnsi="Verdana"/>
          <w:b/>
        </w:rPr>
      </w:pPr>
    </w:p>
    <w:p w14:paraId="75DF72BD" w14:textId="69F31308" w:rsidR="00A703E0" w:rsidRPr="00681EF8" w:rsidRDefault="00A703E0" w:rsidP="00B64A95">
      <w:pPr>
        <w:spacing w:after="0" w:line="240" w:lineRule="auto"/>
        <w:jc w:val="both"/>
        <w:rPr>
          <w:rFonts w:ascii="Verdana" w:hAnsi="Verdana"/>
        </w:rPr>
      </w:pPr>
      <w:r w:rsidRPr="00681EF8">
        <w:rPr>
          <w:rFonts w:ascii="Verdana" w:hAnsi="Verdana"/>
          <w:b/>
        </w:rPr>
        <w:lastRenderedPageBreak/>
        <w:t xml:space="preserve">Artículo </w:t>
      </w:r>
      <w:r w:rsidR="006D3FF6" w:rsidRPr="00681EF8">
        <w:rPr>
          <w:rFonts w:ascii="Verdana" w:hAnsi="Verdana"/>
          <w:b/>
        </w:rPr>
        <w:t>20º</w:t>
      </w:r>
      <w:r w:rsidRPr="00681EF8">
        <w:rPr>
          <w:rFonts w:ascii="Verdana" w:hAnsi="Verdana"/>
          <w:b/>
        </w:rPr>
        <w:t xml:space="preserve">. </w:t>
      </w:r>
      <w:r w:rsidRPr="00681EF8">
        <w:rPr>
          <w:rFonts w:ascii="Verdana" w:hAnsi="Verdana"/>
        </w:rPr>
        <w:t xml:space="preserve">Vigencia y derogatoria: la presente resolución rige a partir de la fecha de expedición y deroga la Resolución </w:t>
      </w:r>
      <w:r w:rsidR="00AC26B6" w:rsidRPr="00681EF8">
        <w:rPr>
          <w:rFonts w:ascii="Verdana" w:hAnsi="Verdana"/>
        </w:rPr>
        <w:t>XXXXXXXXXXXXXXXX</w:t>
      </w:r>
      <w:r w:rsidRPr="00681EF8">
        <w:rPr>
          <w:rFonts w:ascii="Verdana" w:hAnsi="Verdana"/>
        </w:rPr>
        <w:t>.</w:t>
      </w:r>
    </w:p>
    <w:p w14:paraId="2B874C96" w14:textId="2D2E140A" w:rsidR="00A703E0" w:rsidRPr="00681EF8" w:rsidRDefault="00A703E0" w:rsidP="00B64A95">
      <w:pPr>
        <w:spacing w:after="0" w:line="240" w:lineRule="auto"/>
        <w:rPr>
          <w:rFonts w:ascii="Verdana" w:hAnsi="Verdana"/>
        </w:rPr>
      </w:pPr>
      <w:r w:rsidRPr="00681EF8">
        <w:rPr>
          <w:rFonts w:ascii="Verdana" w:hAnsi="Verdana"/>
        </w:rPr>
        <w:br/>
        <w:t xml:space="preserve">Dada en la </w:t>
      </w:r>
      <w:r w:rsidR="00E53F60" w:rsidRPr="00681EF8">
        <w:rPr>
          <w:rFonts w:ascii="Verdana" w:hAnsi="Verdana"/>
        </w:rPr>
        <w:t>c</w:t>
      </w:r>
      <w:r w:rsidRPr="00681EF8">
        <w:rPr>
          <w:rFonts w:ascii="Verdana" w:hAnsi="Verdana"/>
        </w:rPr>
        <w:t xml:space="preserve">iudad de </w:t>
      </w:r>
      <w:r w:rsidR="00F6668F" w:rsidRPr="00681EF8">
        <w:rPr>
          <w:rFonts w:ascii="Verdana" w:hAnsi="Verdana" w:cs="Times New Roman"/>
        </w:rPr>
        <w:t>XXXXXXXXXXX</w:t>
      </w:r>
      <w:r w:rsidRPr="00681EF8">
        <w:rPr>
          <w:rFonts w:ascii="Verdana" w:hAnsi="Verdana"/>
        </w:rPr>
        <w:t xml:space="preserve"> a los,</w:t>
      </w:r>
    </w:p>
    <w:p w14:paraId="55FD0B18" w14:textId="77777777" w:rsidR="00A703E0" w:rsidRPr="00681EF8" w:rsidRDefault="00A703E0" w:rsidP="00B64A95">
      <w:pPr>
        <w:spacing w:after="0" w:line="240" w:lineRule="auto"/>
        <w:jc w:val="both"/>
        <w:rPr>
          <w:rFonts w:ascii="Verdana" w:hAnsi="Verdana"/>
          <w:b/>
        </w:rPr>
      </w:pPr>
    </w:p>
    <w:p w14:paraId="2826E606" w14:textId="77777777" w:rsidR="006C158D" w:rsidRPr="00681EF8" w:rsidRDefault="006C158D" w:rsidP="00B64A95">
      <w:pPr>
        <w:spacing w:after="0" w:line="240" w:lineRule="auto"/>
        <w:jc w:val="both"/>
        <w:rPr>
          <w:rFonts w:ascii="Verdana" w:hAnsi="Verdana"/>
          <w:b/>
        </w:rPr>
      </w:pPr>
    </w:p>
    <w:p w14:paraId="4C6746BA" w14:textId="77777777" w:rsidR="006C158D" w:rsidRPr="00681EF8" w:rsidRDefault="006C158D" w:rsidP="00B64A95">
      <w:pPr>
        <w:spacing w:after="0" w:line="240" w:lineRule="auto"/>
        <w:jc w:val="both"/>
        <w:rPr>
          <w:rFonts w:ascii="Verdana" w:hAnsi="Verdana"/>
          <w:b/>
        </w:rPr>
      </w:pPr>
    </w:p>
    <w:p w14:paraId="679F887C" w14:textId="77777777" w:rsidR="00A703E0" w:rsidRPr="00681EF8" w:rsidRDefault="00A703E0" w:rsidP="00B64A95">
      <w:pPr>
        <w:spacing w:after="0" w:line="240" w:lineRule="auto"/>
        <w:jc w:val="center"/>
        <w:rPr>
          <w:rFonts w:ascii="Verdana" w:hAnsi="Verdana"/>
          <w:b/>
        </w:rPr>
      </w:pPr>
      <w:r w:rsidRPr="00681EF8">
        <w:rPr>
          <w:rFonts w:ascii="Verdana" w:hAnsi="Verdana"/>
          <w:b/>
        </w:rPr>
        <w:t>COMUNÍQUESE, PUBLÍQUESE Y CÚMPLASE</w:t>
      </w:r>
    </w:p>
    <w:p w14:paraId="6E43E50B" w14:textId="77777777" w:rsidR="00A703E0" w:rsidRPr="00681EF8" w:rsidRDefault="00A703E0" w:rsidP="00B64A95">
      <w:pPr>
        <w:spacing w:after="0" w:line="240" w:lineRule="auto"/>
        <w:jc w:val="both"/>
        <w:rPr>
          <w:rFonts w:ascii="Verdana" w:hAnsi="Verdana"/>
          <w:b/>
        </w:rPr>
      </w:pPr>
    </w:p>
    <w:p w14:paraId="632C7DBB" w14:textId="77777777" w:rsidR="00C22868" w:rsidRPr="00681EF8" w:rsidRDefault="00C22868" w:rsidP="00B64A95">
      <w:pPr>
        <w:spacing w:after="0" w:line="240" w:lineRule="auto"/>
        <w:jc w:val="both"/>
        <w:rPr>
          <w:rFonts w:ascii="Verdana" w:hAnsi="Verdana"/>
          <w:b/>
        </w:rPr>
      </w:pPr>
    </w:p>
    <w:p w14:paraId="05A4CAF7" w14:textId="77777777" w:rsidR="00C22868" w:rsidRPr="00681EF8" w:rsidRDefault="00C22868" w:rsidP="00B64A95">
      <w:pPr>
        <w:spacing w:after="0" w:line="240" w:lineRule="auto"/>
        <w:jc w:val="both"/>
        <w:rPr>
          <w:rFonts w:ascii="Verdana" w:hAnsi="Verdana"/>
          <w:b/>
        </w:rPr>
      </w:pPr>
    </w:p>
    <w:p w14:paraId="5A117DA7" w14:textId="77777777" w:rsidR="00A703E0" w:rsidRPr="00681EF8" w:rsidRDefault="00A703E0" w:rsidP="00B64A95">
      <w:pPr>
        <w:spacing w:after="0" w:line="240" w:lineRule="auto"/>
        <w:jc w:val="center"/>
        <w:rPr>
          <w:rFonts w:ascii="Verdana" w:hAnsi="Verdana"/>
          <w:b/>
        </w:rPr>
      </w:pPr>
    </w:p>
    <w:p w14:paraId="6DD5C295" w14:textId="77777777" w:rsidR="00C22868" w:rsidRPr="00681EF8" w:rsidRDefault="00C22868" w:rsidP="00B64A95">
      <w:pPr>
        <w:pStyle w:val="Sinespaciado1"/>
        <w:jc w:val="center"/>
        <w:rPr>
          <w:rFonts w:ascii="Verdana" w:hAnsi="Verdana"/>
          <w:b/>
          <w:sz w:val="22"/>
          <w:szCs w:val="22"/>
        </w:rPr>
      </w:pPr>
    </w:p>
    <w:p w14:paraId="7F5CB14C" w14:textId="77777777" w:rsidR="00C22868" w:rsidRPr="00681EF8" w:rsidRDefault="00C22868" w:rsidP="00B64A95">
      <w:pPr>
        <w:pStyle w:val="Sinespaciado1"/>
        <w:jc w:val="center"/>
        <w:rPr>
          <w:rFonts w:ascii="Verdana" w:hAnsi="Verdana"/>
          <w:b/>
          <w:sz w:val="22"/>
          <w:szCs w:val="22"/>
        </w:rPr>
      </w:pPr>
    </w:p>
    <w:p w14:paraId="7BED28F9" w14:textId="18F5AA54" w:rsidR="00A703E0" w:rsidRPr="00681EF8" w:rsidRDefault="009419C3" w:rsidP="00B64A95">
      <w:pPr>
        <w:pStyle w:val="Sinespaciado1"/>
        <w:jc w:val="center"/>
        <w:rPr>
          <w:rFonts w:ascii="Verdana" w:hAnsi="Verdana"/>
          <w:b/>
          <w:sz w:val="22"/>
          <w:szCs w:val="22"/>
        </w:rPr>
      </w:pPr>
      <w:r w:rsidRPr="00681EF8">
        <w:rPr>
          <w:rFonts w:ascii="Verdana" w:hAnsi="Verdana"/>
          <w:b/>
          <w:sz w:val="22"/>
          <w:szCs w:val="22"/>
        </w:rPr>
        <w:t>REPRESENTANTE LEGAL DE LA ENTIDAD</w:t>
      </w:r>
    </w:p>
    <w:p w14:paraId="5449C879" w14:textId="77777777" w:rsidR="00A703E0" w:rsidRPr="00681EF8" w:rsidRDefault="00A703E0" w:rsidP="00B64A95">
      <w:pPr>
        <w:pStyle w:val="Sinespaciado1"/>
        <w:jc w:val="both"/>
        <w:rPr>
          <w:rFonts w:ascii="Verdana" w:hAnsi="Verdana"/>
          <w:sz w:val="22"/>
          <w:szCs w:val="22"/>
        </w:rPr>
      </w:pPr>
    </w:p>
    <w:p w14:paraId="2D9CB914" w14:textId="77777777" w:rsidR="00A703E0" w:rsidRPr="00681EF8" w:rsidRDefault="00A703E0" w:rsidP="00B64A95">
      <w:pPr>
        <w:pStyle w:val="Sinespaciado1"/>
        <w:jc w:val="both"/>
        <w:rPr>
          <w:rFonts w:ascii="Verdana" w:hAnsi="Verdana"/>
          <w:sz w:val="22"/>
          <w:szCs w:val="22"/>
        </w:rPr>
      </w:pPr>
    </w:p>
    <w:p w14:paraId="5630DA06" w14:textId="313AEDC3" w:rsidR="00CA3D9E" w:rsidRPr="00681EF8" w:rsidRDefault="00CA3D9E" w:rsidP="00B64A95">
      <w:pPr>
        <w:pStyle w:val="Sinespaciado1"/>
        <w:jc w:val="both"/>
        <w:rPr>
          <w:rFonts w:ascii="Verdana" w:hAnsi="Verdana"/>
          <w:sz w:val="22"/>
          <w:szCs w:val="22"/>
        </w:rPr>
      </w:pPr>
    </w:p>
    <w:p w14:paraId="0E811EE3" w14:textId="77777777" w:rsidR="00B64A95" w:rsidRPr="00681EF8" w:rsidRDefault="00B64A95">
      <w:pPr>
        <w:pStyle w:val="Sinespaciado1"/>
        <w:jc w:val="both"/>
        <w:rPr>
          <w:rFonts w:ascii="Verdana" w:hAnsi="Verdana"/>
          <w:sz w:val="22"/>
          <w:szCs w:val="22"/>
        </w:rPr>
      </w:pPr>
    </w:p>
    <w:sectPr w:rsidR="00B64A95" w:rsidRPr="00681EF8" w:rsidSect="00AA5853">
      <w:headerReference w:type="even" r:id="rId8"/>
      <w:headerReference w:type="default" r:id="rId9"/>
      <w:footerReference w:type="even" r:id="rId10"/>
      <w:footerReference w:type="default" r:id="rId11"/>
      <w:headerReference w:type="first" r:id="rId12"/>
      <w:footerReference w:type="first" r:id="rId13"/>
      <w:pgSz w:w="12240" w:h="20160" w:code="5"/>
      <w:pgMar w:top="2410" w:right="1701" w:bottom="1417" w:left="1701" w:header="70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8A77" w14:textId="77777777" w:rsidR="004A27E5" w:rsidRDefault="004A27E5" w:rsidP="009068CD">
      <w:pPr>
        <w:spacing w:after="0" w:line="240" w:lineRule="auto"/>
      </w:pPr>
      <w:r>
        <w:separator/>
      </w:r>
    </w:p>
  </w:endnote>
  <w:endnote w:type="continuationSeparator" w:id="0">
    <w:p w14:paraId="10CE7C98" w14:textId="77777777" w:rsidR="004A27E5" w:rsidRDefault="004A27E5" w:rsidP="009068CD">
      <w:pPr>
        <w:spacing w:after="0" w:line="240" w:lineRule="auto"/>
      </w:pPr>
      <w:r>
        <w:continuationSeparator/>
      </w:r>
    </w:p>
  </w:endnote>
  <w:endnote w:type="continuationNotice" w:id="1">
    <w:p w14:paraId="655BCF1B" w14:textId="77777777" w:rsidR="004A27E5" w:rsidRDefault="004A2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DC63" w14:textId="77777777" w:rsidR="00681EF8" w:rsidRDefault="00681E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27D20F5F" w14:textId="77777777" w:rsidR="00DD3C5F" w:rsidRDefault="00DD3C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95DA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95DA5">
              <w:rPr>
                <w:b/>
                <w:bCs/>
                <w:noProof/>
              </w:rPr>
              <w:t>2</w:t>
            </w:r>
            <w:r>
              <w:rPr>
                <w:b/>
                <w:bCs/>
                <w:sz w:val="24"/>
                <w:szCs w:val="24"/>
              </w:rPr>
              <w:fldChar w:fldCharType="end"/>
            </w:r>
          </w:p>
        </w:sdtContent>
      </w:sdt>
    </w:sdtContent>
  </w:sdt>
  <w:p w14:paraId="40A464C9" w14:textId="77777777" w:rsidR="00DD3C5F" w:rsidRDefault="00DD3C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664F" w14:textId="77777777" w:rsidR="00681EF8" w:rsidRDefault="00681E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A451" w14:textId="77777777" w:rsidR="004A27E5" w:rsidRDefault="004A27E5" w:rsidP="009068CD">
      <w:pPr>
        <w:spacing w:after="0" w:line="240" w:lineRule="auto"/>
      </w:pPr>
      <w:r>
        <w:separator/>
      </w:r>
    </w:p>
  </w:footnote>
  <w:footnote w:type="continuationSeparator" w:id="0">
    <w:p w14:paraId="195B9566" w14:textId="77777777" w:rsidR="004A27E5" w:rsidRDefault="004A27E5" w:rsidP="009068CD">
      <w:pPr>
        <w:spacing w:after="0" w:line="240" w:lineRule="auto"/>
      </w:pPr>
      <w:r>
        <w:continuationSeparator/>
      </w:r>
    </w:p>
  </w:footnote>
  <w:footnote w:type="continuationNotice" w:id="1">
    <w:p w14:paraId="4FE41650" w14:textId="77777777" w:rsidR="004A27E5" w:rsidRDefault="004A27E5">
      <w:pPr>
        <w:spacing w:after="0" w:line="240" w:lineRule="auto"/>
      </w:pPr>
    </w:p>
  </w:footnote>
  <w:footnote w:id="2">
    <w:p w14:paraId="0BCFA88F" w14:textId="77777777" w:rsidR="006E551E" w:rsidRPr="00507302" w:rsidRDefault="006E551E" w:rsidP="00507302">
      <w:pPr>
        <w:pStyle w:val="Textonotapie"/>
        <w:jc w:val="both"/>
        <w:rPr>
          <w:rFonts w:ascii="Verdana" w:hAnsi="Verdana"/>
          <w:sz w:val="16"/>
          <w:szCs w:val="16"/>
          <w:lang w:val="es-MX"/>
        </w:rPr>
      </w:pPr>
      <w:r w:rsidRPr="00507302">
        <w:rPr>
          <w:rStyle w:val="Refdenotaalpie"/>
          <w:rFonts w:ascii="Verdana" w:hAnsi="Verdana"/>
          <w:sz w:val="16"/>
          <w:szCs w:val="16"/>
        </w:rPr>
        <w:footnoteRef/>
      </w:r>
      <w:r w:rsidRPr="00507302">
        <w:rPr>
          <w:rFonts w:ascii="Verdana" w:hAnsi="Verdana"/>
          <w:sz w:val="16"/>
          <w:szCs w:val="16"/>
        </w:rPr>
        <w:t xml:space="preserve"> «Por el cual se expide el Plan Nacional de Desarrollo 2022-2026 ‘Colombia Potencia Mundial de la Vida’.»</w:t>
      </w:r>
    </w:p>
  </w:footnote>
  <w:footnote w:id="3">
    <w:p w14:paraId="1C82433D" w14:textId="77777777" w:rsidR="00A703E0" w:rsidRPr="00507302" w:rsidRDefault="00A703E0" w:rsidP="00507302">
      <w:pPr>
        <w:pStyle w:val="Textonotapie"/>
        <w:jc w:val="both"/>
        <w:rPr>
          <w:rFonts w:ascii="Verdana" w:hAnsi="Verdana"/>
          <w:sz w:val="16"/>
          <w:szCs w:val="16"/>
        </w:rPr>
      </w:pPr>
      <w:r w:rsidRPr="00507302">
        <w:rPr>
          <w:rStyle w:val="Refdenotaalpie"/>
          <w:rFonts w:ascii="Verdana" w:hAnsi="Verdana"/>
          <w:sz w:val="16"/>
          <w:szCs w:val="16"/>
        </w:rPr>
        <w:footnoteRef/>
      </w:r>
      <w:r w:rsidRPr="00507302">
        <w:rPr>
          <w:rFonts w:ascii="Verdana" w:hAnsi="Verdana"/>
          <w:sz w:val="16"/>
          <w:szCs w:val="16"/>
        </w:rPr>
        <w:t xml:space="preserve"> Consejo de Estado, S4, Sentencia del 08 de marzo de 2019. Rad: 13001-23-31-000-2007-00638-02(22963). C.P. Stella Jeannette Carvajal Basto</w:t>
      </w:r>
    </w:p>
  </w:footnote>
  <w:footnote w:id="4">
    <w:p w14:paraId="4C5A3EAC" w14:textId="77777777" w:rsidR="00A703E0" w:rsidRPr="00507302" w:rsidRDefault="00A703E0" w:rsidP="00507302">
      <w:pPr>
        <w:pStyle w:val="Textonotapie"/>
        <w:jc w:val="both"/>
        <w:rPr>
          <w:rFonts w:ascii="Verdana" w:hAnsi="Verdana"/>
          <w:sz w:val="16"/>
          <w:szCs w:val="16"/>
        </w:rPr>
      </w:pPr>
      <w:r w:rsidRPr="00507302">
        <w:rPr>
          <w:rStyle w:val="Refdenotaalpie"/>
          <w:rFonts w:ascii="Verdana" w:hAnsi="Verdana"/>
          <w:sz w:val="16"/>
          <w:szCs w:val="16"/>
        </w:rPr>
        <w:footnoteRef/>
      </w:r>
      <w:r w:rsidRPr="00507302">
        <w:rPr>
          <w:rFonts w:ascii="Verdana" w:hAnsi="Verdana"/>
          <w:sz w:val="16"/>
          <w:szCs w:val="16"/>
        </w:rPr>
        <w:t xml:space="preserve"> Consejo de Estado, S3, Sentencia del 26 de agosto de 2019. Rad: 68001-23-31-000-2005-03937-01(45955). C.P. Jaime Enrique Rodríguez Navas</w:t>
      </w:r>
    </w:p>
  </w:footnote>
  <w:footnote w:id="5">
    <w:p w14:paraId="3D2326D9" w14:textId="77777777" w:rsidR="00A703E0" w:rsidRPr="00507302" w:rsidRDefault="00A703E0" w:rsidP="00507302">
      <w:pPr>
        <w:pStyle w:val="Textonotapie"/>
        <w:jc w:val="both"/>
        <w:rPr>
          <w:rFonts w:ascii="Verdana" w:hAnsi="Verdana"/>
          <w:sz w:val="16"/>
          <w:szCs w:val="16"/>
        </w:rPr>
      </w:pPr>
      <w:r w:rsidRPr="00507302">
        <w:rPr>
          <w:rStyle w:val="Refdenotaalpie"/>
          <w:rFonts w:ascii="Verdana" w:hAnsi="Verdana"/>
          <w:sz w:val="16"/>
          <w:szCs w:val="16"/>
        </w:rPr>
        <w:footnoteRef/>
      </w:r>
      <w:r w:rsidRPr="00507302">
        <w:rPr>
          <w:rFonts w:ascii="Verdana" w:hAnsi="Verdana"/>
          <w:sz w:val="16"/>
          <w:szCs w:val="16"/>
        </w:rPr>
        <w:t xml:space="preserve"> Consejo de Estado, S3, Sentencia del 26 de septiembre de 2012. Rad: 05001-23-31-000-1995-00575-01(24677). C.P. Enrique Gil Botero</w:t>
      </w:r>
    </w:p>
  </w:footnote>
  <w:footnote w:id="6">
    <w:p w14:paraId="553989D0" w14:textId="73FD5337" w:rsidR="00631FF4" w:rsidRPr="00507302" w:rsidRDefault="00631FF4" w:rsidP="00507302">
      <w:pPr>
        <w:pStyle w:val="Textonotapie"/>
        <w:jc w:val="both"/>
        <w:rPr>
          <w:rFonts w:ascii="Verdana" w:hAnsi="Verdana"/>
          <w:sz w:val="16"/>
          <w:szCs w:val="16"/>
        </w:rPr>
      </w:pPr>
      <w:r w:rsidRPr="00507302">
        <w:rPr>
          <w:rStyle w:val="Refdenotaalpie"/>
          <w:rFonts w:ascii="Verdana" w:hAnsi="Verdana"/>
          <w:sz w:val="16"/>
          <w:szCs w:val="16"/>
        </w:rPr>
        <w:footnoteRef/>
      </w:r>
      <w:r w:rsidRPr="00507302">
        <w:rPr>
          <w:rFonts w:ascii="Verdana" w:hAnsi="Verdana"/>
          <w:sz w:val="16"/>
          <w:szCs w:val="16"/>
        </w:rPr>
        <w:t xml:space="preserve"> </w:t>
      </w:r>
      <w:r w:rsidR="00627DAD" w:rsidRPr="00507302">
        <w:rPr>
          <w:rFonts w:ascii="Verdana" w:eastAsia="Times New Roman" w:hAnsi="Verdana" w:cs="Times New Roman"/>
          <w:sz w:val="16"/>
          <w:szCs w:val="16"/>
          <w:lang w:eastAsia="es-CO"/>
        </w:rPr>
        <w:t>La herramienta se encuentra disponible en la Caja de Herramientas dispuesta por la Agencia Nacional de Defensa Jurídica del Estado y está p</w:t>
      </w:r>
      <w:r w:rsidRPr="00507302">
        <w:rPr>
          <w:rFonts w:ascii="Verdana" w:eastAsia="Times New Roman" w:hAnsi="Verdana" w:cs="Times New Roman"/>
          <w:sz w:val="16"/>
          <w:szCs w:val="16"/>
          <w:lang w:eastAsia="es-CO"/>
        </w:rPr>
        <w:t>arametrizada con base en la Resolución 431 de 28 de julio de 2023</w:t>
      </w:r>
      <w:r w:rsidR="00707500" w:rsidRPr="00507302">
        <w:rPr>
          <w:rFonts w:ascii="Verdana" w:eastAsia="Times New Roman" w:hAnsi="Verdana" w:cs="Times New Roman"/>
          <w:sz w:val="16"/>
          <w:szCs w:val="16"/>
          <w:lang w:eastAsia="es-CO"/>
        </w:rPr>
        <w:t xml:space="preserve">, </w:t>
      </w:r>
      <w:r w:rsidRPr="00507302">
        <w:rPr>
          <w:rFonts w:ascii="Verdana" w:eastAsia="Times New Roman" w:hAnsi="Verdana" w:cs="Times New Roman"/>
          <w:sz w:val="16"/>
          <w:szCs w:val="16"/>
          <w:lang w:eastAsia="es-CO"/>
        </w:rPr>
        <w:t xml:space="preserve">se puede acceder a </w:t>
      </w:r>
      <w:r w:rsidR="00707500" w:rsidRPr="00507302">
        <w:rPr>
          <w:rFonts w:ascii="Verdana" w:eastAsia="Times New Roman" w:hAnsi="Verdana" w:cs="Times New Roman"/>
          <w:sz w:val="16"/>
          <w:szCs w:val="16"/>
          <w:lang w:eastAsia="es-CO"/>
        </w:rPr>
        <w:t xml:space="preserve">ella </w:t>
      </w:r>
      <w:r w:rsidRPr="00507302">
        <w:rPr>
          <w:rFonts w:ascii="Verdana" w:eastAsia="Times New Roman" w:hAnsi="Verdana" w:cs="Times New Roman"/>
          <w:sz w:val="16"/>
          <w:szCs w:val="16"/>
          <w:lang w:eastAsia="es-CO"/>
        </w:rPr>
        <w:t xml:space="preserve">través del título “Herramienta de Ayuda” que se encuentra en el enlace:  </w:t>
      </w:r>
      <w:hyperlink r:id="rId1" w:history="1">
        <w:r w:rsidRPr="00507302">
          <w:rPr>
            <w:rStyle w:val="Hipervnculo"/>
            <w:rFonts w:ascii="Verdana" w:eastAsia="Times New Roman" w:hAnsi="Verdana" w:cs="Times New Roman"/>
            <w:sz w:val="16"/>
            <w:szCs w:val="16"/>
            <w:lang w:eastAsia="es-CO"/>
          </w:rPr>
          <w:t>https://www.defensajuridica.gov.co/caja_herramientas/cumplimiento.html</w:t>
        </w:r>
      </w:hyperlink>
    </w:p>
  </w:footnote>
  <w:footnote w:id="7">
    <w:p w14:paraId="2D4FD65C" w14:textId="08689989" w:rsidR="006356C6" w:rsidRPr="00507302" w:rsidRDefault="006356C6" w:rsidP="00507302">
      <w:pPr>
        <w:pStyle w:val="Textonotapie"/>
        <w:jc w:val="both"/>
        <w:rPr>
          <w:rFonts w:ascii="Verdana" w:hAnsi="Verdana"/>
          <w:sz w:val="16"/>
          <w:szCs w:val="16"/>
        </w:rPr>
      </w:pPr>
      <w:r w:rsidRPr="00507302">
        <w:rPr>
          <w:rStyle w:val="Refdenotaalpie"/>
          <w:rFonts w:ascii="Verdana" w:hAnsi="Verdana"/>
          <w:sz w:val="16"/>
          <w:szCs w:val="16"/>
        </w:rPr>
        <w:footnoteRef/>
      </w:r>
      <w:r w:rsidRPr="00507302">
        <w:rPr>
          <w:rFonts w:ascii="Verdana" w:hAnsi="Verdana"/>
          <w:sz w:val="16"/>
          <w:szCs w:val="16"/>
        </w:rPr>
        <w:t xml:space="preserve"> Puede ser descargada de la página</w:t>
      </w:r>
      <w:r w:rsidR="00C2250E" w:rsidRPr="00507302">
        <w:rPr>
          <w:rFonts w:ascii="Verdana" w:hAnsi="Verdana"/>
          <w:sz w:val="16"/>
          <w:szCs w:val="16"/>
        </w:rPr>
        <w:t xml:space="preserve"> web</w:t>
      </w:r>
      <w:r w:rsidRPr="00507302">
        <w:rPr>
          <w:rFonts w:ascii="Verdana" w:hAnsi="Verdana"/>
          <w:sz w:val="16"/>
          <w:szCs w:val="16"/>
        </w:rPr>
        <w:t xml:space="preserve"> de </w:t>
      </w:r>
      <w:r w:rsidR="00C63FB6" w:rsidRPr="00507302">
        <w:rPr>
          <w:rFonts w:ascii="Verdana" w:hAnsi="Verdana"/>
          <w:sz w:val="16"/>
          <w:szCs w:val="16"/>
        </w:rPr>
        <w:t>la Caja de Herramientas</w:t>
      </w:r>
      <w:r w:rsidR="00C2250E" w:rsidRPr="00507302">
        <w:rPr>
          <w:rFonts w:ascii="Verdana" w:hAnsi="Verdana"/>
          <w:sz w:val="16"/>
          <w:szCs w:val="16"/>
        </w:rPr>
        <w:t xml:space="preserve"> a través del siguiente link: https://www.defensajuridica.gov.co/caja_herramientas/cumplimiento.html</w:t>
      </w:r>
    </w:p>
  </w:footnote>
  <w:footnote w:id="8">
    <w:p w14:paraId="51155F4B" w14:textId="57218292" w:rsidR="001A1820" w:rsidRPr="00507302" w:rsidRDefault="001A1820" w:rsidP="00507302">
      <w:pPr>
        <w:pStyle w:val="Textonotapie"/>
        <w:jc w:val="both"/>
        <w:rPr>
          <w:rFonts w:ascii="Verdana" w:hAnsi="Verdana"/>
          <w:sz w:val="16"/>
          <w:szCs w:val="16"/>
        </w:rPr>
      </w:pPr>
      <w:r w:rsidRPr="00507302">
        <w:rPr>
          <w:rStyle w:val="Refdenotaalpie"/>
          <w:rFonts w:ascii="Verdana" w:hAnsi="Verdana"/>
          <w:sz w:val="16"/>
          <w:szCs w:val="16"/>
        </w:rPr>
        <w:footnoteRef/>
      </w:r>
      <w:r w:rsidRPr="00507302">
        <w:rPr>
          <w:rFonts w:ascii="Verdana" w:hAnsi="Verdana"/>
          <w:sz w:val="16"/>
          <w:szCs w:val="16"/>
        </w:rPr>
        <w:t xml:space="preserve"> En aquellas entidades en donde no exista la obligación de constituir comités de conciliación y no se haya hecho de forma facultativa</w:t>
      </w:r>
    </w:p>
  </w:footnote>
  <w:footnote w:id="9">
    <w:p w14:paraId="2F63397E" w14:textId="77777777" w:rsidR="006356C6" w:rsidRPr="00507302" w:rsidRDefault="006356C6" w:rsidP="00507302">
      <w:pPr>
        <w:pStyle w:val="Textonotapie"/>
        <w:jc w:val="both"/>
        <w:rPr>
          <w:rFonts w:ascii="Verdana" w:hAnsi="Verdana"/>
          <w:sz w:val="16"/>
          <w:szCs w:val="16"/>
        </w:rPr>
      </w:pPr>
      <w:r w:rsidRPr="00507302">
        <w:rPr>
          <w:rStyle w:val="Refdenotaalpie"/>
          <w:rFonts w:ascii="Verdana" w:hAnsi="Verdana"/>
          <w:sz w:val="16"/>
          <w:szCs w:val="16"/>
        </w:rPr>
        <w:footnoteRef/>
      </w:r>
      <w:r w:rsidRPr="00507302">
        <w:rPr>
          <w:rFonts w:ascii="Verdana" w:hAnsi="Verdana"/>
          <w:sz w:val="16"/>
          <w:szCs w:val="16"/>
        </w:rPr>
        <w:t xml:space="preserve"> Numeral 4 y 5 del artículo </w:t>
      </w:r>
      <w:r w:rsidRPr="00507302">
        <w:rPr>
          <w:rStyle w:val="Textoennegrita"/>
          <w:rFonts w:ascii="Verdana" w:hAnsi="Verdana"/>
          <w:b w:val="0"/>
          <w:sz w:val="16"/>
          <w:szCs w:val="16"/>
        </w:rPr>
        <w:t>2.2.3.4.1.10 del Decreto 1069 de 2015</w:t>
      </w:r>
    </w:p>
  </w:footnote>
  <w:footnote w:id="10">
    <w:p w14:paraId="2617037B" w14:textId="77777777" w:rsidR="006356C6" w:rsidRPr="00507302" w:rsidRDefault="006356C6" w:rsidP="00507302">
      <w:pPr>
        <w:pStyle w:val="Textonotapie"/>
        <w:jc w:val="both"/>
        <w:rPr>
          <w:rFonts w:ascii="Verdana" w:hAnsi="Verdana"/>
          <w:sz w:val="16"/>
          <w:szCs w:val="16"/>
        </w:rPr>
      </w:pPr>
      <w:r w:rsidRPr="00507302">
        <w:rPr>
          <w:rStyle w:val="Refdenotaalpie"/>
          <w:rFonts w:ascii="Verdana" w:hAnsi="Verdana"/>
          <w:sz w:val="16"/>
          <w:szCs w:val="16"/>
        </w:rPr>
        <w:footnoteRef/>
      </w:r>
      <w:r w:rsidRPr="00507302">
        <w:rPr>
          <w:rFonts w:ascii="Verdana" w:hAnsi="Verdana"/>
          <w:sz w:val="16"/>
          <w:szCs w:val="16"/>
        </w:rPr>
        <w:t xml:space="preserve"> Dicha tasa pude ser consultada en el siguiente enlace </w:t>
      </w:r>
      <w:hyperlink r:id="rId2" w:history="1">
        <w:r w:rsidRPr="00507302">
          <w:rPr>
            <w:rStyle w:val="Hipervnculo"/>
            <w:rFonts w:ascii="Verdana" w:hAnsi="Verdana"/>
            <w:sz w:val="16"/>
            <w:szCs w:val="16"/>
          </w:rPr>
          <w:t>https://www.banrep.gov.co/es/estadisticas/tes</w:t>
        </w:r>
      </w:hyperlink>
    </w:p>
  </w:footnote>
  <w:footnote w:id="11">
    <w:p w14:paraId="51C12477" w14:textId="2FD6D1F8" w:rsidR="00FA66D2" w:rsidRPr="00507302" w:rsidRDefault="00FA66D2" w:rsidP="00507302">
      <w:pPr>
        <w:pStyle w:val="Textonotapie"/>
        <w:jc w:val="both"/>
        <w:rPr>
          <w:rFonts w:ascii="Verdana" w:hAnsi="Verdana"/>
          <w:sz w:val="16"/>
          <w:szCs w:val="16"/>
        </w:rPr>
      </w:pPr>
      <w:r w:rsidRPr="00507302">
        <w:rPr>
          <w:rStyle w:val="Refdenotaalpie"/>
          <w:rFonts w:ascii="Verdana" w:hAnsi="Verdana"/>
          <w:sz w:val="16"/>
          <w:szCs w:val="16"/>
        </w:rPr>
        <w:footnoteRef/>
      </w:r>
      <w:r w:rsidRPr="00507302">
        <w:rPr>
          <w:rFonts w:ascii="Verdana" w:hAnsi="Verdana"/>
          <w:sz w:val="16"/>
          <w:szCs w:val="16"/>
        </w:rPr>
        <w:t xml:space="preserve"> Puede ser descargada de la página web de la Caja de Herramientas a través del siguiente link: https://www.defensajuridica.gov.co/caja_herramientas/cumplimiento.html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851F" w14:textId="77777777" w:rsidR="00681EF8" w:rsidRDefault="00681E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lang w:eastAsia="es-CO"/>
      </w:rPr>
      <w:id w:val="906800779"/>
      <w:docPartObj>
        <w:docPartGallery w:val="Watermarks"/>
        <w:docPartUnique/>
      </w:docPartObj>
    </w:sdtPr>
    <w:sdtEndPr/>
    <w:sdtContent>
      <w:p w14:paraId="3D7005D8" w14:textId="172FACD5" w:rsidR="00A703E0" w:rsidRDefault="00507302" w:rsidP="00A703E0">
        <w:pPr>
          <w:jc w:val="both"/>
          <w:rPr>
            <w:noProof/>
            <w:lang w:eastAsia="es-CO"/>
          </w:rPr>
        </w:pPr>
        <w:r>
          <w:rPr>
            <w:noProof/>
            <w:lang w:eastAsia="es-CO"/>
          </w:rPr>
          <w:pict w14:anchorId="5377C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EJEMPLO"/>
              <w10:wrap anchorx="margin" anchory="margin"/>
            </v:shape>
          </w:pict>
        </w:r>
      </w:p>
    </w:sdtContent>
  </w:sdt>
  <w:p w14:paraId="592253E9" w14:textId="19031E94" w:rsidR="00A703E0" w:rsidRDefault="00C53874" w:rsidP="00A703E0">
    <w:pPr>
      <w:jc w:val="both"/>
      <w:rPr>
        <w:noProof/>
        <w:lang w:eastAsia="es-CO"/>
      </w:rPr>
    </w:pPr>
    <w:r>
      <w:rPr>
        <w:noProof/>
        <w:lang w:eastAsia="es-CO"/>
      </w:rPr>
      <mc:AlternateContent>
        <mc:Choice Requires="wps">
          <w:drawing>
            <wp:anchor distT="0" distB="0" distL="114300" distR="114300" simplePos="0" relativeHeight="251657216" behindDoc="1" locked="0" layoutInCell="0" allowOverlap="1" wp14:anchorId="066C1BB6" wp14:editId="230027C8">
              <wp:simplePos x="0" y="0"/>
              <wp:positionH relativeFrom="margin">
                <wp:posOffset>-461010</wp:posOffset>
              </wp:positionH>
              <wp:positionV relativeFrom="paragraph">
                <wp:posOffset>314960</wp:posOffset>
              </wp:positionV>
              <wp:extent cx="6515100" cy="11077575"/>
              <wp:effectExtent l="0" t="0" r="19050" b="28575"/>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11077575"/>
                      </a:xfrm>
                      <a:custGeom>
                        <a:avLst/>
                        <a:gdLst>
                          <a:gd name="T0" fmla="*/ 640 w 20000"/>
                          <a:gd name="T1" fmla="*/ 0 h 20000"/>
                          <a:gd name="T2" fmla="*/ 383 w 20000"/>
                          <a:gd name="T3" fmla="*/ 32 h 20000"/>
                          <a:gd name="T4" fmla="*/ 192 w 20000"/>
                          <a:gd name="T5" fmla="*/ 128 h 20000"/>
                          <a:gd name="T6" fmla="*/ 65 w 20000"/>
                          <a:gd name="T7" fmla="*/ 255 h 20000"/>
                          <a:gd name="T8" fmla="*/ 0 w 20000"/>
                          <a:gd name="T9" fmla="*/ 384 h 20000"/>
                          <a:gd name="T10" fmla="*/ 0 w 20000"/>
                          <a:gd name="T11" fmla="*/ 19616 h 20000"/>
                          <a:gd name="T12" fmla="*/ 65 w 20000"/>
                          <a:gd name="T13" fmla="*/ 19745 h 20000"/>
                          <a:gd name="T14" fmla="*/ 192 w 20000"/>
                          <a:gd name="T15" fmla="*/ 19872 h 20000"/>
                          <a:gd name="T16" fmla="*/ 383 w 20000"/>
                          <a:gd name="T17" fmla="*/ 19968 h 20000"/>
                          <a:gd name="T18" fmla="*/ 640 w 20000"/>
                          <a:gd name="T19" fmla="*/ 20000 h 20000"/>
                          <a:gd name="T20" fmla="*/ 19360 w 20000"/>
                          <a:gd name="T21" fmla="*/ 20000 h 20000"/>
                          <a:gd name="T22" fmla="*/ 19617 w 20000"/>
                          <a:gd name="T23" fmla="*/ 19968 h 20000"/>
                          <a:gd name="T24" fmla="*/ 19808 w 20000"/>
                          <a:gd name="T25" fmla="*/ 19872 h 20000"/>
                          <a:gd name="T26" fmla="*/ 19935 w 20000"/>
                          <a:gd name="T27" fmla="*/ 19745 h 20000"/>
                          <a:gd name="T28" fmla="*/ 20000 w 20000"/>
                          <a:gd name="T29" fmla="*/ 19616 h 20000"/>
                          <a:gd name="T30" fmla="*/ 20000 w 20000"/>
                          <a:gd name="T31" fmla="*/ 384 h 20000"/>
                          <a:gd name="T32" fmla="*/ 19935 w 20000"/>
                          <a:gd name="T33" fmla="*/ 255 h 20000"/>
                          <a:gd name="T34" fmla="*/ 19808 w 20000"/>
                          <a:gd name="T35" fmla="*/ 128 h 20000"/>
                          <a:gd name="T36" fmla="*/ 19617 w 20000"/>
                          <a:gd name="T37" fmla="*/ 32 h 20000"/>
                          <a:gd name="T38" fmla="*/ 19360 w 20000"/>
                          <a:gd name="T39" fmla="*/ 0 h 20000"/>
                          <a:gd name="T40" fmla="*/ 640 w 20000"/>
                          <a:gd name="T4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640" y="0"/>
                            </a:moveTo>
                            <a:lnTo>
                              <a:pt x="383" y="32"/>
                            </a:lnTo>
                            <a:lnTo>
                              <a:pt x="192" y="128"/>
                            </a:lnTo>
                            <a:lnTo>
                              <a:pt x="65" y="255"/>
                            </a:lnTo>
                            <a:lnTo>
                              <a:pt x="0" y="384"/>
                            </a:lnTo>
                            <a:lnTo>
                              <a:pt x="0" y="19616"/>
                            </a:lnTo>
                            <a:lnTo>
                              <a:pt x="65" y="19745"/>
                            </a:lnTo>
                            <a:lnTo>
                              <a:pt x="192" y="19872"/>
                            </a:lnTo>
                            <a:lnTo>
                              <a:pt x="383" y="19968"/>
                            </a:lnTo>
                            <a:lnTo>
                              <a:pt x="640" y="20000"/>
                            </a:lnTo>
                            <a:lnTo>
                              <a:pt x="19360" y="20000"/>
                            </a:lnTo>
                            <a:lnTo>
                              <a:pt x="19617" y="19968"/>
                            </a:lnTo>
                            <a:lnTo>
                              <a:pt x="19808" y="19872"/>
                            </a:lnTo>
                            <a:lnTo>
                              <a:pt x="19935" y="19745"/>
                            </a:lnTo>
                            <a:lnTo>
                              <a:pt x="20000" y="19616"/>
                            </a:lnTo>
                            <a:lnTo>
                              <a:pt x="20000" y="384"/>
                            </a:lnTo>
                            <a:lnTo>
                              <a:pt x="19935" y="255"/>
                            </a:lnTo>
                            <a:lnTo>
                              <a:pt x="19808" y="128"/>
                            </a:lnTo>
                            <a:lnTo>
                              <a:pt x="19617" y="32"/>
                            </a:lnTo>
                            <a:lnTo>
                              <a:pt x="19360" y="0"/>
                            </a:lnTo>
                            <a:lnTo>
                              <a:pt x="640" y="0"/>
                            </a:lnTo>
                            <a:close/>
                          </a:path>
                        </a:pathLst>
                      </a:custGeom>
                      <a:solidFill>
                        <a:srgbClr val="FFFFFF"/>
                      </a:solidFill>
                      <a:ln w="12700"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90FD5" id="Freeform 1" o:spid="_x0000_s1026" style="position:absolute;margin-left:-36.3pt;margin-top:24.8pt;width:513pt;height:87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" o:allowincell="f" path="m640,l383,32,192,128,65,255,,384,,19616r65,129l192,19872r191,96l640,20000r18720,l19617,19968r191,-96l19935,19745r65,-129l20000,384r-65,-129l19808,128,19617,32,19360,,640,xe" strokeweight="1pt">
              <v:path arrowok="t" o:connecttype="custom" o:connectlocs="208483,0;124764,17724;62545,70896;21174,141239;0,212689;0,10864886;21174,10936336;62545,11006679;124764,11059851;208483,11077575;6306617,11077575;6390336,11059851;6452555,11006679;6493926,10936336;6515100,10864886;6515100,212689;6493926,141239;6452555,70896;6390336,17724;6306617,0;208483,0" o:connectangles="0,0,0,0,0,0,0,0,0,0,0,0,0,0,0,0,0,0,0,0,0"/>
              <w10:wrap anchorx="margin"/>
            </v:shape>
          </w:pict>
        </mc:Fallback>
      </mc:AlternateContent>
    </w:r>
  </w:p>
  <w:p w14:paraId="52CBC5B8" w14:textId="2319DECD" w:rsidR="00A703E0" w:rsidRDefault="00A703E0" w:rsidP="00A703E0">
    <w:pPr>
      <w:jc w:val="both"/>
      <w:rPr>
        <w:noProof/>
        <w:lang w:eastAsia="es-CO"/>
      </w:rPr>
    </w:pPr>
  </w:p>
  <w:p w14:paraId="3AF2D65F" w14:textId="468B6862" w:rsidR="009068CD" w:rsidRDefault="009068C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9CF0" w14:textId="77777777" w:rsidR="00681EF8" w:rsidRDefault="00681E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7EE"/>
    <w:multiLevelType w:val="hybridMultilevel"/>
    <w:tmpl w:val="82A20602"/>
    <w:lvl w:ilvl="0" w:tplc="F8DA779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BF37BF"/>
    <w:multiLevelType w:val="multilevel"/>
    <w:tmpl w:val="9C60B3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ascii="Times New Roman" w:eastAsia="Times New Roman" w:hAnsi="Times New Roman" w:cs="Times New Roman"/>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3D52541"/>
    <w:multiLevelType w:val="hybridMultilevel"/>
    <w:tmpl w:val="914A3FB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C37950"/>
    <w:multiLevelType w:val="hybridMultilevel"/>
    <w:tmpl w:val="9AF66242"/>
    <w:lvl w:ilvl="0" w:tplc="F35CA9B4">
      <w:start w:val="1"/>
      <w:numFmt w:val="decimal"/>
      <w:lvlText w:val="%1."/>
      <w:lvlJc w:val="left"/>
      <w:pPr>
        <w:tabs>
          <w:tab w:val="num" w:pos="720"/>
        </w:tabs>
        <w:ind w:left="720" w:hanging="360"/>
      </w:pPr>
    </w:lvl>
    <w:lvl w:ilvl="1" w:tplc="F022F4AC" w:tentative="1">
      <w:start w:val="1"/>
      <w:numFmt w:val="decimal"/>
      <w:lvlText w:val="%2."/>
      <w:lvlJc w:val="left"/>
      <w:pPr>
        <w:tabs>
          <w:tab w:val="num" w:pos="1440"/>
        </w:tabs>
        <w:ind w:left="1440" w:hanging="360"/>
      </w:pPr>
    </w:lvl>
    <w:lvl w:ilvl="2" w:tplc="EF788752" w:tentative="1">
      <w:start w:val="1"/>
      <w:numFmt w:val="decimal"/>
      <w:lvlText w:val="%3."/>
      <w:lvlJc w:val="left"/>
      <w:pPr>
        <w:tabs>
          <w:tab w:val="num" w:pos="2160"/>
        </w:tabs>
        <w:ind w:left="2160" w:hanging="360"/>
      </w:pPr>
    </w:lvl>
    <w:lvl w:ilvl="3" w:tplc="C840EF68" w:tentative="1">
      <w:start w:val="1"/>
      <w:numFmt w:val="decimal"/>
      <w:lvlText w:val="%4."/>
      <w:lvlJc w:val="left"/>
      <w:pPr>
        <w:tabs>
          <w:tab w:val="num" w:pos="2880"/>
        </w:tabs>
        <w:ind w:left="2880" w:hanging="360"/>
      </w:pPr>
    </w:lvl>
    <w:lvl w:ilvl="4" w:tplc="0A48A9B2" w:tentative="1">
      <w:start w:val="1"/>
      <w:numFmt w:val="decimal"/>
      <w:lvlText w:val="%5."/>
      <w:lvlJc w:val="left"/>
      <w:pPr>
        <w:tabs>
          <w:tab w:val="num" w:pos="3600"/>
        </w:tabs>
        <w:ind w:left="3600" w:hanging="360"/>
      </w:pPr>
    </w:lvl>
    <w:lvl w:ilvl="5" w:tplc="B6182516" w:tentative="1">
      <w:start w:val="1"/>
      <w:numFmt w:val="decimal"/>
      <w:lvlText w:val="%6."/>
      <w:lvlJc w:val="left"/>
      <w:pPr>
        <w:tabs>
          <w:tab w:val="num" w:pos="4320"/>
        </w:tabs>
        <w:ind w:left="4320" w:hanging="360"/>
      </w:pPr>
    </w:lvl>
    <w:lvl w:ilvl="6" w:tplc="03B0B656" w:tentative="1">
      <w:start w:val="1"/>
      <w:numFmt w:val="decimal"/>
      <w:lvlText w:val="%7."/>
      <w:lvlJc w:val="left"/>
      <w:pPr>
        <w:tabs>
          <w:tab w:val="num" w:pos="5040"/>
        </w:tabs>
        <w:ind w:left="5040" w:hanging="360"/>
      </w:pPr>
    </w:lvl>
    <w:lvl w:ilvl="7" w:tplc="AB881B5E" w:tentative="1">
      <w:start w:val="1"/>
      <w:numFmt w:val="decimal"/>
      <w:lvlText w:val="%8."/>
      <w:lvlJc w:val="left"/>
      <w:pPr>
        <w:tabs>
          <w:tab w:val="num" w:pos="5760"/>
        </w:tabs>
        <w:ind w:left="5760" w:hanging="360"/>
      </w:pPr>
    </w:lvl>
    <w:lvl w:ilvl="8" w:tplc="32C2C7B0" w:tentative="1">
      <w:start w:val="1"/>
      <w:numFmt w:val="decimal"/>
      <w:lvlText w:val="%9."/>
      <w:lvlJc w:val="left"/>
      <w:pPr>
        <w:tabs>
          <w:tab w:val="num" w:pos="6480"/>
        </w:tabs>
        <w:ind w:left="6480" w:hanging="360"/>
      </w:pPr>
    </w:lvl>
  </w:abstractNum>
  <w:abstractNum w:abstractNumId="4" w15:restartNumberingAfterBreak="0">
    <w:nsid w:val="0F805D05"/>
    <w:multiLevelType w:val="hybridMultilevel"/>
    <w:tmpl w:val="3BFA693A"/>
    <w:lvl w:ilvl="0" w:tplc="79DECF16">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0DD1417"/>
    <w:multiLevelType w:val="hybridMultilevel"/>
    <w:tmpl w:val="A58425D4"/>
    <w:lvl w:ilvl="0" w:tplc="88F0CFB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5E5327"/>
    <w:multiLevelType w:val="multilevel"/>
    <w:tmpl w:val="E3642CDE"/>
    <w:lvl w:ilvl="0">
      <w:start w:val="1"/>
      <w:numFmt w:val="lowerLetter"/>
      <w:lvlText w:val="%1."/>
      <w:lvlJc w:val="left"/>
      <w:pPr>
        <w:ind w:left="720" w:hanging="360"/>
      </w:pPr>
      <w:rPr>
        <w:rFonts w:ascii="Montserrat" w:hAnsi="Montserrat"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68931C5"/>
    <w:multiLevelType w:val="hybridMultilevel"/>
    <w:tmpl w:val="E280C4FA"/>
    <w:lvl w:ilvl="0" w:tplc="8ADA3A2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776ED6"/>
    <w:multiLevelType w:val="hybridMultilevel"/>
    <w:tmpl w:val="2A5680B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73D0664"/>
    <w:multiLevelType w:val="hybridMultilevel"/>
    <w:tmpl w:val="782A580E"/>
    <w:lvl w:ilvl="0" w:tplc="240A0013">
      <w:start w:val="1"/>
      <w:numFmt w:val="upperRoman"/>
      <w:lvlText w:val="%1."/>
      <w:lvlJc w:val="right"/>
      <w:pPr>
        <w:ind w:left="76" w:hanging="360"/>
      </w:pPr>
      <w:rPr>
        <w:rFonts w:hint="default"/>
        <w:b/>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10" w15:restartNumberingAfterBreak="0">
    <w:nsid w:val="2A7F0B43"/>
    <w:multiLevelType w:val="multilevel"/>
    <w:tmpl w:val="B3B4B456"/>
    <w:lvl w:ilvl="0">
      <w:start w:val="1"/>
      <w:numFmt w:val="lowerLetter"/>
      <w:lvlText w:val="%1)"/>
      <w:lvlJc w:val="left"/>
      <w:pPr>
        <w:ind w:left="360" w:hanging="360"/>
      </w:pPr>
      <w:rPr>
        <w:rFonts w:ascii="Montserrat" w:eastAsia="Times New Roman" w:hAnsi="Montserrat"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E716890"/>
    <w:multiLevelType w:val="hybridMultilevel"/>
    <w:tmpl w:val="86829146"/>
    <w:lvl w:ilvl="0" w:tplc="240A0013">
      <w:start w:val="1"/>
      <w:numFmt w:val="upperRoman"/>
      <w:lvlText w:val="%1."/>
      <w:lvlJc w:val="righ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EEC4FD4"/>
    <w:multiLevelType w:val="hybridMultilevel"/>
    <w:tmpl w:val="3DB8090E"/>
    <w:lvl w:ilvl="0" w:tplc="6072864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850969"/>
    <w:multiLevelType w:val="hybridMultilevel"/>
    <w:tmpl w:val="9D7C171A"/>
    <w:lvl w:ilvl="0" w:tplc="240A000F">
      <w:start w:val="1"/>
      <w:numFmt w:val="decimal"/>
      <w:lvlText w:val="%1."/>
      <w:lvlJc w:val="left"/>
      <w:pPr>
        <w:ind w:left="360" w:hanging="360"/>
      </w:pPr>
      <w:rPr>
        <w:rFonts w:hint="default"/>
      </w:rPr>
    </w:lvl>
    <w:lvl w:ilvl="1" w:tplc="240A000F">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D175A7F"/>
    <w:multiLevelType w:val="hybridMultilevel"/>
    <w:tmpl w:val="90440CB0"/>
    <w:lvl w:ilvl="0" w:tplc="B84A633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19696E"/>
    <w:multiLevelType w:val="hybridMultilevel"/>
    <w:tmpl w:val="B614AAA6"/>
    <w:lvl w:ilvl="0" w:tplc="10A60552">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BD5A2D"/>
    <w:multiLevelType w:val="hybridMultilevel"/>
    <w:tmpl w:val="90DA9142"/>
    <w:lvl w:ilvl="0" w:tplc="11623228">
      <w:start w:val="1"/>
      <w:numFmt w:val="lowerRoman"/>
      <w:lvlText w:val="%1."/>
      <w:lvlJc w:val="left"/>
      <w:pPr>
        <w:ind w:left="1080" w:hanging="720"/>
      </w:pPr>
      <w:rPr>
        <w:rFonts w:eastAsia="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6F385C"/>
    <w:multiLevelType w:val="hybridMultilevel"/>
    <w:tmpl w:val="CDEC4CB0"/>
    <w:lvl w:ilvl="0" w:tplc="8A4AADBA">
      <w:start w:val="1"/>
      <w:numFmt w:val="bullet"/>
      <w:lvlText w:val="•"/>
      <w:lvlJc w:val="left"/>
      <w:pPr>
        <w:tabs>
          <w:tab w:val="num" w:pos="720"/>
        </w:tabs>
        <w:ind w:left="720" w:hanging="360"/>
      </w:pPr>
      <w:rPr>
        <w:rFonts w:ascii="Times New Roman" w:hAnsi="Times New Roman" w:hint="default"/>
      </w:rPr>
    </w:lvl>
    <w:lvl w:ilvl="1" w:tplc="26EECBA0" w:tentative="1">
      <w:start w:val="1"/>
      <w:numFmt w:val="bullet"/>
      <w:lvlText w:val="•"/>
      <w:lvlJc w:val="left"/>
      <w:pPr>
        <w:tabs>
          <w:tab w:val="num" w:pos="1440"/>
        </w:tabs>
        <w:ind w:left="1440" w:hanging="360"/>
      </w:pPr>
      <w:rPr>
        <w:rFonts w:ascii="Times New Roman" w:hAnsi="Times New Roman" w:hint="default"/>
      </w:rPr>
    </w:lvl>
    <w:lvl w:ilvl="2" w:tplc="4AA64D12" w:tentative="1">
      <w:start w:val="1"/>
      <w:numFmt w:val="bullet"/>
      <w:lvlText w:val="•"/>
      <w:lvlJc w:val="left"/>
      <w:pPr>
        <w:tabs>
          <w:tab w:val="num" w:pos="2160"/>
        </w:tabs>
        <w:ind w:left="2160" w:hanging="360"/>
      </w:pPr>
      <w:rPr>
        <w:rFonts w:ascii="Times New Roman" w:hAnsi="Times New Roman" w:hint="default"/>
      </w:rPr>
    </w:lvl>
    <w:lvl w:ilvl="3" w:tplc="2D4ABCFC" w:tentative="1">
      <w:start w:val="1"/>
      <w:numFmt w:val="bullet"/>
      <w:lvlText w:val="•"/>
      <w:lvlJc w:val="left"/>
      <w:pPr>
        <w:tabs>
          <w:tab w:val="num" w:pos="2880"/>
        </w:tabs>
        <w:ind w:left="2880" w:hanging="360"/>
      </w:pPr>
      <w:rPr>
        <w:rFonts w:ascii="Times New Roman" w:hAnsi="Times New Roman" w:hint="default"/>
      </w:rPr>
    </w:lvl>
    <w:lvl w:ilvl="4" w:tplc="8B48EFBA" w:tentative="1">
      <w:start w:val="1"/>
      <w:numFmt w:val="bullet"/>
      <w:lvlText w:val="•"/>
      <w:lvlJc w:val="left"/>
      <w:pPr>
        <w:tabs>
          <w:tab w:val="num" w:pos="3600"/>
        </w:tabs>
        <w:ind w:left="3600" w:hanging="360"/>
      </w:pPr>
      <w:rPr>
        <w:rFonts w:ascii="Times New Roman" w:hAnsi="Times New Roman" w:hint="default"/>
      </w:rPr>
    </w:lvl>
    <w:lvl w:ilvl="5" w:tplc="68225520" w:tentative="1">
      <w:start w:val="1"/>
      <w:numFmt w:val="bullet"/>
      <w:lvlText w:val="•"/>
      <w:lvlJc w:val="left"/>
      <w:pPr>
        <w:tabs>
          <w:tab w:val="num" w:pos="4320"/>
        </w:tabs>
        <w:ind w:left="4320" w:hanging="360"/>
      </w:pPr>
      <w:rPr>
        <w:rFonts w:ascii="Times New Roman" w:hAnsi="Times New Roman" w:hint="default"/>
      </w:rPr>
    </w:lvl>
    <w:lvl w:ilvl="6" w:tplc="19949AF6" w:tentative="1">
      <w:start w:val="1"/>
      <w:numFmt w:val="bullet"/>
      <w:lvlText w:val="•"/>
      <w:lvlJc w:val="left"/>
      <w:pPr>
        <w:tabs>
          <w:tab w:val="num" w:pos="5040"/>
        </w:tabs>
        <w:ind w:left="5040" w:hanging="360"/>
      </w:pPr>
      <w:rPr>
        <w:rFonts w:ascii="Times New Roman" w:hAnsi="Times New Roman" w:hint="default"/>
      </w:rPr>
    </w:lvl>
    <w:lvl w:ilvl="7" w:tplc="65F4C086" w:tentative="1">
      <w:start w:val="1"/>
      <w:numFmt w:val="bullet"/>
      <w:lvlText w:val="•"/>
      <w:lvlJc w:val="left"/>
      <w:pPr>
        <w:tabs>
          <w:tab w:val="num" w:pos="5760"/>
        </w:tabs>
        <w:ind w:left="5760" w:hanging="360"/>
      </w:pPr>
      <w:rPr>
        <w:rFonts w:ascii="Times New Roman" w:hAnsi="Times New Roman" w:hint="default"/>
      </w:rPr>
    </w:lvl>
    <w:lvl w:ilvl="8" w:tplc="6F28ACA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B90091E"/>
    <w:multiLevelType w:val="hybridMultilevel"/>
    <w:tmpl w:val="7EFC234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6E6C94"/>
    <w:multiLevelType w:val="hybridMultilevel"/>
    <w:tmpl w:val="6CFC95DA"/>
    <w:lvl w:ilvl="0" w:tplc="B010C45A">
      <w:start w:val="1"/>
      <w:numFmt w:val="upperRoman"/>
      <w:lvlText w:val="%1."/>
      <w:lvlJc w:val="left"/>
      <w:pPr>
        <w:ind w:left="720" w:hanging="720"/>
      </w:pPr>
      <w:rPr>
        <w:rFonts w:eastAsia="Times New Roman"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CF47AC3"/>
    <w:multiLevelType w:val="hybridMultilevel"/>
    <w:tmpl w:val="60202486"/>
    <w:lvl w:ilvl="0" w:tplc="89BA284A">
      <w:start w:val="1"/>
      <w:numFmt w:val="lowerRoman"/>
      <w:lvlText w:val="%1)"/>
      <w:lvlJc w:val="left"/>
      <w:pPr>
        <w:ind w:left="1440" w:hanging="720"/>
      </w:pPr>
      <w:rPr>
        <w:rFonts w:hint="default"/>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57C029D8"/>
    <w:multiLevelType w:val="hybridMultilevel"/>
    <w:tmpl w:val="5C28D414"/>
    <w:lvl w:ilvl="0" w:tplc="864C825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ACD2502"/>
    <w:multiLevelType w:val="hybridMultilevel"/>
    <w:tmpl w:val="782A580E"/>
    <w:lvl w:ilvl="0" w:tplc="240A0013">
      <w:start w:val="1"/>
      <w:numFmt w:val="upperRoman"/>
      <w:lvlText w:val="%1."/>
      <w:lvlJc w:val="right"/>
      <w:pPr>
        <w:ind w:left="76" w:hanging="360"/>
      </w:pPr>
      <w:rPr>
        <w:rFonts w:hint="default"/>
        <w:b/>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3" w15:restartNumberingAfterBreak="0">
    <w:nsid w:val="5CF72AE2"/>
    <w:multiLevelType w:val="hybridMultilevel"/>
    <w:tmpl w:val="167E3938"/>
    <w:lvl w:ilvl="0" w:tplc="80FE1A68">
      <w:start w:val="1"/>
      <w:numFmt w:val="lowerLetter"/>
      <w:lvlText w:val="%1)"/>
      <w:lvlJc w:val="left"/>
      <w:pPr>
        <w:ind w:left="720" w:hanging="360"/>
      </w:pPr>
      <w:rPr>
        <w:rFonts w:ascii="Montserrat" w:eastAsia="Times New Roman" w:hAnsi="Montserrat" w:cs="Times New Roman"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FB43862"/>
    <w:multiLevelType w:val="hybridMultilevel"/>
    <w:tmpl w:val="64C2CCC2"/>
    <w:lvl w:ilvl="0" w:tplc="EA60F26A">
      <w:start w:val="1"/>
      <w:numFmt w:val="lowerLetter"/>
      <w:lvlText w:val="%1."/>
      <w:lvlJc w:val="left"/>
      <w:pPr>
        <w:ind w:left="720" w:hanging="360"/>
      </w:pPr>
      <w:rPr>
        <w:rFonts w:ascii="Montserrat" w:hAnsi="Montserra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FCB3FE7"/>
    <w:multiLevelType w:val="hybridMultilevel"/>
    <w:tmpl w:val="43D22494"/>
    <w:lvl w:ilvl="0" w:tplc="3748443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618B5696"/>
    <w:multiLevelType w:val="hybridMultilevel"/>
    <w:tmpl w:val="927048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9924539"/>
    <w:multiLevelType w:val="multilevel"/>
    <w:tmpl w:val="ECC4B44C"/>
    <w:lvl w:ilvl="0">
      <w:start w:val="1"/>
      <w:numFmt w:val="lowerLetter"/>
      <w:lvlText w:val="%1)"/>
      <w:lvlJc w:val="left"/>
      <w:pPr>
        <w:ind w:left="360" w:hanging="360"/>
      </w:pPr>
      <w:rPr>
        <w:rFonts w:ascii="Montserrat" w:eastAsia="Times New Roman" w:hAnsi="Montserrat" w:cs="Times New Roman"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E032CF9"/>
    <w:multiLevelType w:val="multilevel"/>
    <w:tmpl w:val="B3B4B456"/>
    <w:lvl w:ilvl="0">
      <w:start w:val="1"/>
      <w:numFmt w:val="lowerLetter"/>
      <w:lvlText w:val="%1)"/>
      <w:lvlJc w:val="left"/>
      <w:pPr>
        <w:ind w:left="360" w:hanging="360"/>
      </w:pPr>
      <w:rPr>
        <w:rFonts w:ascii="Montserrat" w:eastAsia="Times New Roman" w:hAnsi="Montserrat"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AB5460B"/>
    <w:multiLevelType w:val="multilevel"/>
    <w:tmpl w:val="B3B4B456"/>
    <w:lvl w:ilvl="0">
      <w:start w:val="1"/>
      <w:numFmt w:val="lowerLetter"/>
      <w:lvlText w:val="%1)"/>
      <w:lvlJc w:val="left"/>
      <w:pPr>
        <w:ind w:left="360" w:hanging="360"/>
      </w:pPr>
      <w:rPr>
        <w:rFonts w:ascii="Montserrat" w:eastAsia="Times New Roman" w:hAnsi="Montserrat"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BEC69ED"/>
    <w:multiLevelType w:val="hybridMultilevel"/>
    <w:tmpl w:val="069AC2F4"/>
    <w:lvl w:ilvl="0" w:tplc="95DC909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31591957">
    <w:abstractNumId w:val="6"/>
  </w:num>
  <w:num w:numId="2" w16cid:durableId="949162977">
    <w:abstractNumId w:val="13"/>
  </w:num>
  <w:num w:numId="3" w16cid:durableId="1088189981">
    <w:abstractNumId w:val="1"/>
  </w:num>
  <w:num w:numId="4" w16cid:durableId="13072707">
    <w:abstractNumId w:val="29"/>
  </w:num>
  <w:num w:numId="5" w16cid:durableId="1297025492">
    <w:abstractNumId w:val="25"/>
  </w:num>
  <w:num w:numId="6" w16cid:durableId="1288389053">
    <w:abstractNumId w:val="2"/>
  </w:num>
  <w:num w:numId="7" w16cid:durableId="1127820089">
    <w:abstractNumId w:val="21"/>
  </w:num>
  <w:num w:numId="8" w16cid:durableId="1747537205">
    <w:abstractNumId w:val="7"/>
  </w:num>
  <w:num w:numId="9" w16cid:durableId="684982446">
    <w:abstractNumId w:val="23"/>
  </w:num>
  <w:num w:numId="10" w16cid:durableId="891383041">
    <w:abstractNumId w:val="18"/>
  </w:num>
  <w:num w:numId="11" w16cid:durableId="363602005">
    <w:abstractNumId w:val="22"/>
  </w:num>
  <w:num w:numId="12" w16cid:durableId="257759076">
    <w:abstractNumId w:val="11"/>
  </w:num>
  <w:num w:numId="13" w16cid:durableId="313487311">
    <w:abstractNumId w:val="3"/>
  </w:num>
  <w:num w:numId="14" w16cid:durableId="579868173">
    <w:abstractNumId w:val="9"/>
  </w:num>
  <w:num w:numId="15" w16cid:durableId="784619220">
    <w:abstractNumId w:val="15"/>
  </w:num>
  <w:num w:numId="16" w16cid:durableId="1171262514">
    <w:abstractNumId w:val="10"/>
  </w:num>
  <w:num w:numId="17" w16cid:durableId="217936148">
    <w:abstractNumId w:val="14"/>
  </w:num>
  <w:num w:numId="18" w16cid:durableId="1692535786">
    <w:abstractNumId w:val="16"/>
  </w:num>
  <w:num w:numId="19" w16cid:durableId="884559796">
    <w:abstractNumId w:val="19"/>
  </w:num>
  <w:num w:numId="20" w16cid:durableId="1887521223">
    <w:abstractNumId w:val="28"/>
  </w:num>
  <w:num w:numId="21" w16cid:durableId="698554559">
    <w:abstractNumId w:val="12"/>
  </w:num>
  <w:num w:numId="22" w16cid:durableId="540098053">
    <w:abstractNumId w:val="30"/>
  </w:num>
  <w:num w:numId="23" w16cid:durableId="16662815">
    <w:abstractNumId w:val="5"/>
  </w:num>
  <w:num w:numId="24" w16cid:durableId="1917283228">
    <w:abstractNumId w:val="0"/>
  </w:num>
  <w:num w:numId="25" w16cid:durableId="331421643">
    <w:abstractNumId w:val="17"/>
  </w:num>
  <w:num w:numId="26" w16cid:durableId="331029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7141947">
    <w:abstractNumId w:val="26"/>
  </w:num>
  <w:num w:numId="28" w16cid:durableId="2040471039">
    <w:abstractNumId w:val="24"/>
  </w:num>
  <w:num w:numId="29" w16cid:durableId="114954996">
    <w:abstractNumId w:val="4"/>
  </w:num>
  <w:num w:numId="30" w16cid:durableId="1626812009">
    <w:abstractNumId w:val="27"/>
  </w:num>
  <w:num w:numId="31" w16cid:durableId="6357212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4E60"/>
    <w:rsid w:val="00017CB1"/>
    <w:rsid w:val="000247E6"/>
    <w:rsid w:val="00040D9B"/>
    <w:rsid w:val="0005282D"/>
    <w:rsid w:val="000544EB"/>
    <w:rsid w:val="00056D81"/>
    <w:rsid w:val="000714E3"/>
    <w:rsid w:val="00072264"/>
    <w:rsid w:val="000860BA"/>
    <w:rsid w:val="00094100"/>
    <w:rsid w:val="0009703D"/>
    <w:rsid w:val="000B01D9"/>
    <w:rsid w:val="000B224D"/>
    <w:rsid w:val="000B61DB"/>
    <w:rsid w:val="000B71F6"/>
    <w:rsid w:val="00100770"/>
    <w:rsid w:val="001018CC"/>
    <w:rsid w:val="0011222F"/>
    <w:rsid w:val="001150C8"/>
    <w:rsid w:val="0011679B"/>
    <w:rsid w:val="00123A64"/>
    <w:rsid w:val="00125A53"/>
    <w:rsid w:val="001271D5"/>
    <w:rsid w:val="00140EAD"/>
    <w:rsid w:val="00155C1A"/>
    <w:rsid w:val="00161D80"/>
    <w:rsid w:val="001663F8"/>
    <w:rsid w:val="0018662D"/>
    <w:rsid w:val="0019368A"/>
    <w:rsid w:val="001A01DD"/>
    <w:rsid w:val="001A1820"/>
    <w:rsid w:val="001B549B"/>
    <w:rsid w:val="001C2313"/>
    <w:rsid w:val="001C5745"/>
    <w:rsid w:val="001C69E6"/>
    <w:rsid w:val="001C6E52"/>
    <w:rsid w:val="001D0B4C"/>
    <w:rsid w:val="001D68EB"/>
    <w:rsid w:val="001E31C4"/>
    <w:rsid w:val="00211F65"/>
    <w:rsid w:val="002140E6"/>
    <w:rsid w:val="002302F1"/>
    <w:rsid w:val="002B6B2F"/>
    <w:rsid w:val="002B751B"/>
    <w:rsid w:val="002C49A1"/>
    <w:rsid w:val="002E718F"/>
    <w:rsid w:val="002F30A9"/>
    <w:rsid w:val="002F3EDE"/>
    <w:rsid w:val="002F44E4"/>
    <w:rsid w:val="002F519B"/>
    <w:rsid w:val="00302D13"/>
    <w:rsid w:val="00306889"/>
    <w:rsid w:val="00312706"/>
    <w:rsid w:val="00322CE2"/>
    <w:rsid w:val="00322D0F"/>
    <w:rsid w:val="0032793E"/>
    <w:rsid w:val="00337BAF"/>
    <w:rsid w:val="00337D5B"/>
    <w:rsid w:val="00340A98"/>
    <w:rsid w:val="00346850"/>
    <w:rsid w:val="00350FE1"/>
    <w:rsid w:val="00352877"/>
    <w:rsid w:val="00355B5F"/>
    <w:rsid w:val="00356C77"/>
    <w:rsid w:val="00362ABD"/>
    <w:rsid w:val="0036439E"/>
    <w:rsid w:val="00375514"/>
    <w:rsid w:val="00385E82"/>
    <w:rsid w:val="003937F5"/>
    <w:rsid w:val="00397FE9"/>
    <w:rsid w:val="003A234E"/>
    <w:rsid w:val="003A4995"/>
    <w:rsid w:val="003B58AE"/>
    <w:rsid w:val="003B69A8"/>
    <w:rsid w:val="003C3743"/>
    <w:rsid w:val="003D1413"/>
    <w:rsid w:val="003D19A5"/>
    <w:rsid w:val="003E284C"/>
    <w:rsid w:val="0040115E"/>
    <w:rsid w:val="00403673"/>
    <w:rsid w:val="00441B6A"/>
    <w:rsid w:val="004420F5"/>
    <w:rsid w:val="004623BE"/>
    <w:rsid w:val="00476AFF"/>
    <w:rsid w:val="004773A3"/>
    <w:rsid w:val="00482C7F"/>
    <w:rsid w:val="004A018D"/>
    <w:rsid w:val="004A27E5"/>
    <w:rsid w:val="004A5407"/>
    <w:rsid w:val="004A56B3"/>
    <w:rsid w:val="004A6C4D"/>
    <w:rsid w:val="004B78B7"/>
    <w:rsid w:val="004C20BA"/>
    <w:rsid w:val="004C435D"/>
    <w:rsid w:val="004C54EB"/>
    <w:rsid w:val="004D2828"/>
    <w:rsid w:val="004D3EC5"/>
    <w:rsid w:val="004E0D9D"/>
    <w:rsid w:val="0050337B"/>
    <w:rsid w:val="00505B89"/>
    <w:rsid w:val="00507302"/>
    <w:rsid w:val="005122FA"/>
    <w:rsid w:val="00522863"/>
    <w:rsid w:val="00523BD0"/>
    <w:rsid w:val="00531B41"/>
    <w:rsid w:val="00544701"/>
    <w:rsid w:val="0054715C"/>
    <w:rsid w:val="00547B27"/>
    <w:rsid w:val="0057360C"/>
    <w:rsid w:val="00574F98"/>
    <w:rsid w:val="00583926"/>
    <w:rsid w:val="00590A37"/>
    <w:rsid w:val="005944EE"/>
    <w:rsid w:val="005A32A3"/>
    <w:rsid w:val="005D2587"/>
    <w:rsid w:val="005E4258"/>
    <w:rsid w:val="005F3A79"/>
    <w:rsid w:val="00612EE8"/>
    <w:rsid w:val="00613EFA"/>
    <w:rsid w:val="00616EA1"/>
    <w:rsid w:val="00627DAD"/>
    <w:rsid w:val="00630012"/>
    <w:rsid w:val="00631FF4"/>
    <w:rsid w:val="006326AD"/>
    <w:rsid w:val="006356C6"/>
    <w:rsid w:val="006357C0"/>
    <w:rsid w:val="006424AC"/>
    <w:rsid w:val="006456B3"/>
    <w:rsid w:val="00650910"/>
    <w:rsid w:val="0066058B"/>
    <w:rsid w:val="00661C87"/>
    <w:rsid w:val="00675EB1"/>
    <w:rsid w:val="00681EF8"/>
    <w:rsid w:val="00684D00"/>
    <w:rsid w:val="00690BFE"/>
    <w:rsid w:val="00692E31"/>
    <w:rsid w:val="00697795"/>
    <w:rsid w:val="006A4F50"/>
    <w:rsid w:val="006A605B"/>
    <w:rsid w:val="006B3CF7"/>
    <w:rsid w:val="006B57F2"/>
    <w:rsid w:val="006C158D"/>
    <w:rsid w:val="006C3AB7"/>
    <w:rsid w:val="006D3FF6"/>
    <w:rsid w:val="006D57A1"/>
    <w:rsid w:val="006E177F"/>
    <w:rsid w:val="006E494E"/>
    <w:rsid w:val="006E551E"/>
    <w:rsid w:val="006F16B1"/>
    <w:rsid w:val="006F3C45"/>
    <w:rsid w:val="00701ACA"/>
    <w:rsid w:val="00707500"/>
    <w:rsid w:val="00720B2C"/>
    <w:rsid w:val="00731313"/>
    <w:rsid w:val="00741A1E"/>
    <w:rsid w:val="00743C61"/>
    <w:rsid w:val="0077031E"/>
    <w:rsid w:val="00772183"/>
    <w:rsid w:val="0079040B"/>
    <w:rsid w:val="007B057F"/>
    <w:rsid w:val="007B5832"/>
    <w:rsid w:val="007C16D0"/>
    <w:rsid w:val="007D0D96"/>
    <w:rsid w:val="007D7D23"/>
    <w:rsid w:val="007E28FA"/>
    <w:rsid w:val="007E37D9"/>
    <w:rsid w:val="007E44F2"/>
    <w:rsid w:val="007E6A36"/>
    <w:rsid w:val="007F5EF2"/>
    <w:rsid w:val="00804AEE"/>
    <w:rsid w:val="00816399"/>
    <w:rsid w:val="00822466"/>
    <w:rsid w:val="00826C13"/>
    <w:rsid w:val="00827D80"/>
    <w:rsid w:val="0083334D"/>
    <w:rsid w:val="00835908"/>
    <w:rsid w:val="008477DA"/>
    <w:rsid w:val="0085385D"/>
    <w:rsid w:val="008554A3"/>
    <w:rsid w:val="00857448"/>
    <w:rsid w:val="00873E1A"/>
    <w:rsid w:val="00877AF6"/>
    <w:rsid w:val="008813E6"/>
    <w:rsid w:val="008835E6"/>
    <w:rsid w:val="00884007"/>
    <w:rsid w:val="00890D1D"/>
    <w:rsid w:val="008954FA"/>
    <w:rsid w:val="00895DA5"/>
    <w:rsid w:val="008A2E0E"/>
    <w:rsid w:val="008B267A"/>
    <w:rsid w:val="008D17E7"/>
    <w:rsid w:val="008D4103"/>
    <w:rsid w:val="008E226A"/>
    <w:rsid w:val="008E38A8"/>
    <w:rsid w:val="008E57FE"/>
    <w:rsid w:val="008F1830"/>
    <w:rsid w:val="008F31A3"/>
    <w:rsid w:val="008F3905"/>
    <w:rsid w:val="00900F2A"/>
    <w:rsid w:val="009068CD"/>
    <w:rsid w:val="009144A5"/>
    <w:rsid w:val="00916BC4"/>
    <w:rsid w:val="0093156B"/>
    <w:rsid w:val="00931E37"/>
    <w:rsid w:val="0093555A"/>
    <w:rsid w:val="009419C3"/>
    <w:rsid w:val="009425F4"/>
    <w:rsid w:val="0094460B"/>
    <w:rsid w:val="00945E4E"/>
    <w:rsid w:val="0095028D"/>
    <w:rsid w:val="009509B4"/>
    <w:rsid w:val="00953FB7"/>
    <w:rsid w:val="00956FC7"/>
    <w:rsid w:val="009827C6"/>
    <w:rsid w:val="009939DA"/>
    <w:rsid w:val="00994C61"/>
    <w:rsid w:val="009A058F"/>
    <w:rsid w:val="009A460C"/>
    <w:rsid w:val="009B377F"/>
    <w:rsid w:val="009B72D7"/>
    <w:rsid w:val="009C1487"/>
    <w:rsid w:val="009C2D19"/>
    <w:rsid w:val="009C3301"/>
    <w:rsid w:val="009F5523"/>
    <w:rsid w:val="009F6550"/>
    <w:rsid w:val="009F70A8"/>
    <w:rsid w:val="00A05F04"/>
    <w:rsid w:val="00A144E1"/>
    <w:rsid w:val="00A147F1"/>
    <w:rsid w:val="00A325E8"/>
    <w:rsid w:val="00A32B0D"/>
    <w:rsid w:val="00A35463"/>
    <w:rsid w:val="00A35763"/>
    <w:rsid w:val="00A47DCE"/>
    <w:rsid w:val="00A51A05"/>
    <w:rsid w:val="00A66176"/>
    <w:rsid w:val="00A703E0"/>
    <w:rsid w:val="00A77325"/>
    <w:rsid w:val="00A776DA"/>
    <w:rsid w:val="00AA4701"/>
    <w:rsid w:val="00AA5853"/>
    <w:rsid w:val="00AA6638"/>
    <w:rsid w:val="00AB4F94"/>
    <w:rsid w:val="00AC145A"/>
    <w:rsid w:val="00AC26B6"/>
    <w:rsid w:val="00AC3015"/>
    <w:rsid w:val="00AD101A"/>
    <w:rsid w:val="00AD6E35"/>
    <w:rsid w:val="00AE0B4C"/>
    <w:rsid w:val="00B0492F"/>
    <w:rsid w:val="00B0599B"/>
    <w:rsid w:val="00B2277E"/>
    <w:rsid w:val="00B40817"/>
    <w:rsid w:val="00B47A8F"/>
    <w:rsid w:val="00B547A1"/>
    <w:rsid w:val="00B56F51"/>
    <w:rsid w:val="00B64A95"/>
    <w:rsid w:val="00B66739"/>
    <w:rsid w:val="00B6742B"/>
    <w:rsid w:val="00B6798D"/>
    <w:rsid w:val="00B9269B"/>
    <w:rsid w:val="00B93132"/>
    <w:rsid w:val="00BB1DE0"/>
    <w:rsid w:val="00BB5602"/>
    <w:rsid w:val="00BC1FB9"/>
    <w:rsid w:val="00BD113A"/>
    <w:rsid w:val="00BD4428"/>
    <w:rsid w:val="00BD71D5"/>
    <w:rsid w:val="00C16F76"/>
    <w:rsid w:val="00C2250E"/>
    <w:rsid w:val="00C22868"/>
    <w:rsid w:val="00C277CE"/>
    <w:rsid w:val="00C35858"/>
    <w:rsid w:val="00C36E6B"/>
    <w:rsid w:val="00C504E8"/>
    <w:rsid w:val="00C53874"/>
    <w:rsid w:val="00C53BEA"/>
    <w:rsid w:val="00C53DF0"/>
    <w:rsid w:val="00C60D6F"/>
    <w:rsid w:val="00C6140D"/>
    <w:rsid w:val="00C61C90"/>
    <w:rsid w:val="00C63FB6"/>
    <w:rsid w:val="00C7169E"/>
    <w:rsid w:val="00C84B0D"/>
    <w:rsid w:val="00C87D43"/>
    <w:rsid w:val="00CA22FD"/>
    <w:rsid w:val="00CA3D9E"/>
    <w:rsid w:val="00CD4190"/>
    <w:rsid w:val="00CD437C"/>
    <w:rsid w:val="00CE27A3"/>
    <w:rsid w:val="00CE6D33"/>
    <w:rsid w:val="00CE773D"/>
    <w:rsid w:val="00CF628C"/>
    <w:rsid w:val="00D0073A"/>
    <w:rsid w:val="00D36EEC"/>
    <w:rsid w:val="00D377EF"/>
    <w:rsid w:val="00D47341"/>
    <w:rsid w:val="00D67E26"/>
    <w:rsid w:val="00D70FA4"/>
    <w:rsid w:val="00D715C8"/>
    <w:rsid w:val="00D7649C"/>
    <w:rsid w:val="00D7657D"/>
    <w:rsid w:val="00D87AC5"/>
    <w:rsid w:val="00D90007"/>
    <w:rsid w:val="00D9354D"/>
    <w:rsid w:val="00D93D2F"/>
    <w:rsid w:val="00D941BA"/>
    <w:rsid w:val="00D94790"/>
    <w:rsid w:val="00DA3440"/>
    <w:rsid w:val="00DA6E3F"/>
    <w:rsid w:val="00DB1D5A"/>
    <w:rsid w:val="00DB792B"/>
    <w:rsid w:val="00DC6BD9"/>
    <w:rsid w:val="00DD14DC"/>
    <w:rsid w:val="00DD1A07"/>
    <w:rsid w:val="00DD3C5F"/>
    <w:rsid w:val="00DE4C9B"/>
    <w:rsid w:val="00DF3BF4"/>
    <w:rsid w:val="00E101EE"/>
    <w:rsid w:val="00E11929"/>
    <w:rsid w:val="00E14819"/>
    <w:rsid w:val="00E14D8A"/>
    <w:rsid w:val="00E22D3E"/>
    <w:rsid w:val="00E27A56"/>
    <w:rsid w:val="00E374E5"/>
    <w:rsid w:val="00E45AF8"/>
    <w:rsid w:val="00E4770D"/>
    <w:rsid w:val="00E53F60"/>
    <w:rsid w:val="00E54557"/>
    <w:rsid w:val="00E6797D"/>
    <w:rsid w:val="00E75BB8"/>
    <w:rsid w:val="00E875D0"/>
    <w:rsid w:val="00E930F6"/>
    <w:rsid w:val="00E95956"/>
    <w:rsid w:val="00E97454"/>
    <w:rsid w:val="00EA4575"/>
    <w:rsid w:val="00EB1D53"/>
    <w:rsid w:val="00EB464A"/>
    <w:rsid w:val="00ED4FC4"/>
    <w:rsid w:val="00EF0F1D"/>
    <w:rsid w:val="00F00FAD"/>
    <w:rsid w:val="00F115C3"/>
    <w:rsid w:val="00F43D47"/>
    <w:rsid w:val="00F50382"/>
    <w:rsid w:val="00F5094F"/>
    <w:rsid w:val="00F53DBC"/>
    <w:rsid w:val="00F60F07"/>
    <w:rsid w:val="00F6668F"/>
    <w:rsid w:val="00F878F1"/>
    <w:rsid w:val="00F97FFE"/>
    <w:rsid w:val="00FA0018"/>
    <w:rsid w:val="00FA4D73"/>
    <w:rsid w:val="00FA66D2"/>
    <w:rsid w:val="00FA6C3A"/>
    <w:rsid w:val="00FC6DFD"/>
    <w:rsid w:val="00FC7F5F"/>
    <w:rsid w:val="00FD7E53"/>
    <w:rsid w:val="00FE5EF8"/>
    <w:rsid w:val="00FF5E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6EE7A"/>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703E0"/>
    <w:pPr>
      <w:spacing w:line="259" w:lineRule="auto"/>
      <w:ind w:left="720"/>
      <w:contextualSpacing/>
    </w:pPr>
    <w:rPr>
      <w:kern w:val="0"/>
      <w14:ligatures w14:val="none"/>
    </w:rPr>
  </w:style>
  <w:style w:type="paragraph" w:styleId="Textonotapie">
    <w:name w:val="footnote text"/>
    <w:basedOn w:val="Normal"/>
    <w:link w:val="TextonotapieCar"/>
    <w:uiPriority w:val="99"/>
    <w:semiHidden/>
    <w:unhideWhenUsed/>
    <w:rsid w:val="00A703E0"/>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semiHidden/>
    <w:rsid w:val="00A703E0"/>
    <w:rPr>
      <w:sz w:val="20"/>
      <w:szCs w:val="20"/>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basedOn w:val="Fuentedeprrafopredeter"/>
    <w:uiPriority w:val="99"/>
    <w:unhideWhenUsed/>
    <w:qFormat/>
    <w:rsid w:val="009C1487"/>
    <w:rPr>
      <w:vertAlign w:val="superscript"/>
    </w:rPr>
  </w:style>
  <w:style w:type="character" w:styleId="Hipervnculo">
    <w:name w:val="Hyperlink"/>
    <w:basedOn w:val="Fuentedeprrafopredeter"/>
    <w:uiPriority w:val="99"/>
    <w:unhideWhenUsed/>
    <w:rsid w:val="00A703E0"/>
    <w:rPr>
      <w:color w:val="0563C1" w:themeColor="hyperlink"/>
      <w:u w:val="single"/>
    </w:rPr>
  </w:style>
  <w:style w:type="paragraph" w:styleId="Textodeglobo">
    <w:name w:val="Balloon Text"/>
    <w:basedOn w:val="Normal"/>
    <w:link w:val="TextodegloboCar"/>
    <w:uiPriority w:val="99"/>
    <w:semiHidden/>
    <w:unhideWhenUsed/>
    <w:rsid w:val="00A703E0"/>
    <w:pPr>
      <w:spacing w:after="0" w:line="240" w:lineRule="auto"/>
    </w:pPr>
    <w:rPr>
      <w:rFonts w:ascii="Segoe UI"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A703E0"/>
    <w:rPr>
      <w:rFonts w:ascii="Segoe UI" w:hAnsi="Segoe UI" w:cs="Segoe UI"/>
      <w:sz w:val="18"/>
      <w:szCs w:val="18"/>
    </w:rPr>
  </w:style>
  <w:style w:type="character" w:styleId="Refdecomentario">
    <w:name w:val="annotation reference"/>
    <w:basedOn w:val="Fuentedeprrafopredeter"/>
    <w:uiPriority w:val="99"/>
    <w:semiHidden/>
    <w:unhideWhenUsed/>
    <w:rsid w:val="00A703E0"/>
    <w:rPr>
      <w:sz w:val="16"/>
      <w:szCs w:val="16"/>
    </w:rPr>
  </w:style>
  <w:style w:type="paragraph" w:styleId="Textocomentario">
    <w:name w:val="annotation text"/>
    <w:basedOn w:val="Normal"/>
    <w:link w:val="TextocomentarioCar"/>
    <w:uiPriority w:val="99"/>
    <w:unhideWhenUsed/>
    <w:rsid w:val="00A703E0"/>
    <w:pPr>
      <w:spacing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rsid w:val="00A703E0"/>
    <w:rPr>
      <w:sz w:val="20"/>
      <w:szCs w:val="20"/>
    </w:rPr>
  </w:style>
  <w:style w:type="paragraph" w:styleId="Asuntodelcomentario">
    <w:name w:val="annotation subject"/>
    <w:basedOn w:val="Textocomentario"/>
    <w:next w:val="Textocomentario"/>
    <w:link w:val="AsuntodelcomentarioCar"/>
    <w:uiPriority w:val="99"/>
    <w:semiHidden/>
    <w:unhideWhenUsed/>
    <w:rsid w:val="00A703E0"/>
    <w:rPr>
      <w:b/>
      <w:bCs/>
    </w:rPr>
  </w:style>
  <w:style w:type="character" w:customStyle="1" w:styleId="AsuntodelcomentarioCar">
    <w:name w:val="Asunto del comentario Car"/>
    <w:basedOn w:val="TextocomentarioCar"/>
    <w:link w:val="Asuntodelcomentario"/>
    <w:uiPriority w:val="99"/>
    <w:semiHidden/>
    <w:rsid w:val="00A703E0"/>
    <w:rPr>
      <w:b/>
      <w:bCs/>
      <w:sz w:val="20"/>
      <w:szCs w:val="20"/>
    </w:rPr>
  </w:style>
  <w:style w:type="character" w:styleId="Textoennegrita">
    <w:name w:val="Strong"/>
    <w:basedOn w:val="Fuentedeprrafopredeter"/>
    <w:uiPriority w:val="22"/>
    <w:qFormat/>
    <w:rsid w:val="00A703E0"/>
    <w:rPr>
      <w:b/>
      <w:bCs/>
    </w:rPr>
  </w:style>
  <w:style w:type="paragraph" w:customStyle="1" w:styleId="Default">
    <w:name w:val="Default"/>
    <w:rsid w:val="00A703E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A703E0"/>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Sinespaciado1">
    <w:name w:val="Sin espaciado1"/>
    <w:link w:val="NoSpacingChar"/>
    <w:qFormat/>
    <w:rsid w:val="00A703E0"/>
    <w:pPr>
      <w:spacing w:after="0" w:line="240" w:lineRule="auto"/>
    </w:pPr>
    <w:rPr>
      <w:rFonts w:ascii="Times New Roman" w:eastAsia="Times New Roman" w:hAnsi="Times New Roman" w:cs="Times New Roman"/>
      <w:sz w:val="24"/>
      <w:szCs w:val="24"/>
      <w:lang w:eastAsia="es-ES"/>
    </w:rPr>
  </w:style>
  <w:style w:type="character" w:customStyle="1" w:styleId="NoSpacingChar">
    <w:name w:val="No Spacing Char"/>
    <w:link w:val="Sinespaciado1"/>
    <w:locked/>
    <w:rsid w:val="00A703E0"/>
    <w:rPr>
      <w:rFonts w:ascii="Times New Roman" w:eastAsia="Times New Roman" w:hAnsi="Times New Roman" w:cs="Times New Roman"/>
      <w:sz w:val="24"/>
      <w:szCs w:val="24"/>
      <w:lang w:eastAsia="es-ES"/>
    </w:rPr>
  </w:style>
  <w:style w:type="paragraph" w:styleId="Revisin">
    <w:name w:val="Revision"/>
    <w:hidden/>
    <w:uiPriority w:val="99"/>
    <w:semiHidden/>
    <w:rsid w:val="00A703E0"/>
    <w:pPr>
      <w:spacing w:after="0" w:line="240" w:lineRule="auto"/>
    </w:pPr>
  </w:style>
  <w:style w:type="paragraph" w:styleId="z-Principiodelformulario">
    <w:name w:val="HTML Top of Form"/>
    <w:basedOn w:val="Normal"/>
    <w:next w:val="Normal"/>
    <w:link w:val="z-PrincipiodelformularioCar"/>
    <w:hidden/>
    <w:uiPriority w:val="99"/>
    <w:semiHidden/>
    <w:unhideWhenUsed/>
    <w:rsid w:val="00A703E0"/>
    <w:pPr>
      <w:pBdr>
        <w:bottom w:val="single" w:sz="6" w:space="1" w:color="auto"/>
      </w:pBdr>
      <w:spacing w:after="0" w:line="240" w:lineRule="auto"/>
      <w:jc w:val="center"/>
    </w:pPr>
    <w:rPr>
      <w:rFonts w:ascii="Arial" w:eastAsia="Times New Roman" w:hAnsi="Arial" w:cs="Arial"/>
      <w:vanish/>
      <w:kern w:val="0"/>
      <w:sz w:val="16"/>
      <w:szCs w:val="16"/>
      <w:lang w:eastAsia="es-CO"/>
      <w14:ligatures w14:val="none"/>
    </w:rPr>
  </w:style>
  <w:style w:type="character" w:customStyle="1" w:styleId="z-PrincipiodelformularioCar">
    <w:name w:val="z-Principio del formulario Car"/>
    <w:basedOn w:val="Fuentedeprrafopredeter"/>
    <w:link w:val="z-Principiodelformulario"/>
    <w:uiPriority w:val="99"/>
    <w:semiHidden/>
    <w:rsid w:val="00A703E0"/>
    <w:rPr>
      <w:rFonts w:ascii="Arial" w:eastAsia="Times New Roman" w:hAnsi="Arial" w:cs="Arial"/>
      <w:vanish/>
      <w:sz w:val="16"/>
      <w:szCs w:val="16"/>
      <w:lang w:eastAsia="es-CO"/>
    </w:rPr>
  </w:style>
  <w:style w:type="character" w:styleId="Mencinsinresolver">
    <w:name w:val="Unresolved Mention"/>
    <w:basedOn w:val="Fuentedeprrafopredeter"/>
    <w:uiPriority w:val="99"/>
    <w:semiHidden/>
    <w:unhideWhenUsed/>
    <w:rsid w:val="003A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255549639">
      <w:bodyDiv w:val="1"/>
      <w:marLeft w:val="0"/>
      <w:marRight w:val="0"/>
      <w:marTop w:val="0"/>
      <w:marBottom w:val="0"/>
      <w:divBdr>
        <w:top w:val="none" w:sz="0" w:space="0" w:color="auto"/>
        <w:left w:val="none" w:sz="0" w:space="0" w:color="auto"/>
        <w:bottom w:val="none" w:sz="0" w:space="0" w:color="auto"/>
        <w:right w:val="none" w:sz="0" w:space="0" w:color="auto"/>
      </w:divBdr>
    </w:div>
    <w:div w:id="1590263166">
      <w:bodyDiv w:val="1"/>
      <w:marLeft w:val="0"/>
      <w:marRight w:val="0"/>
      <w:marTop w:val="0"/>
      <w:marBottom w:val="0"/>
      <w:divBdr>
        <w:top w:val="none" w:sz="0" w:space="0" w:color="auto"/>
        <w:left w:val="none" w:sz="0" w:space="0" w:color="auto"/>
        <w:bottom w:val="none" w:sz="0" w:space="0" w:color="auto"/>
        <w:right w:val="none" w:sz="0" w:space="0" w:color="auto"/>
      </w:divBdr>
      <w:divsChild>
        <w:div w:id="1629236817">
          <w:marLeft w:val="0"/>
          <w:marRight w:val="0"/>
          <w:marTop w:val="0"/>
          <w:marBottom w:val="0"/>
          <w:divBdr>
            <w:top w:val="none" w:sz="0" w:space="0" w:color="auto"/>
            <w:left w:val="none" w:sz="0" w:space="0" w:color="auto"/>
            <w:bottom w:val="none" w:sz="0" w:space="0" w:color="auto"/>
            <w:right w:val="none" w:sz="0" w:space="0" w:color="auto"/>
          </w:divBdr>
          <w:divsChild>
            <w:div w:id="2111126331">
              <w:marLeft w:val="0"/>
              <w:marRight w:val="0"/>
              <w:marTop w:val="0"/>
              <w:marBottom w:val="0"/>
              <w:divBdr>
                <w:top w:val="none" w:sz="0" w:space="0" w:color="auto"/>
                <w:left w:val="none" w:sz="0" w:space="0" w:color="auto"/>
                <w:bottom w:val="none" w:sz="0" w:space="0" w:color="auto"/>
                <w:right w:val="none" w:sz="0" w:space="0" w:color="auto"/>
              </w:divBdr>
              <w:divsChild>
                <w:div w:id="11199589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anrep.gov.co/es/estadisticas/tes" TargetMode="External"/><Relationship Id="rId1" Type="http://schemas.openxmlformats.org/officeDocument/2006/relationships/hyperlink" Target="https://www.defensajuridica.gov.co/caja_herramientas/cumplimient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273AD1723114A84982869A34F4359806" ma:contentTypeVersion="1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dc6b5ecc51e0973859558b88b4e81f82">
  <xsd:schema xmlns:xsd="http://www.w3.org/2001/XMLSchema" xmlns:xs="http://www.w3.org/2001/XMLSchema" xmlns:p="http://schemas.microsoft.com/office/2006/metadata/properties" xmlns:ns1="http://schemas.microsoft.com/sharepoint/v3" xmlns:ns2="ab9e261d-df55-4c20-bbd0-ba725ea6017b" xmlns:ns3="40839eeb-5a66-4e6e-aa47-122bf840a467" targetNamespace="http://schemas.microsoft.com/office/2006/metadata/properties" ma:root="true" ma:fieldsID="4bd77c666d533c3f361803995887aaf6" ns1:_="" ns2:_="" ns3:_="">
    <xsd:import namespace="http://schemas.microsoft.com/sharepoint/v3"/>
    <xsd:import namespace="ab9e261d-df55-4c20-bbd0-ba725ea6017b"/>
    <xsd:import namespace="40839eeb-5a66-4e6e-aa47-122bf840a467"/>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element ref="ns2:DescripcionPque_x00f1_a" minOccurs="0"/>
                <xsd:element ref="ns2:Noticia" minOccurs="0"/>
                <xsd:element ref="ns2:Resumen" minOccurs="0"/>
                <xsd:element ref="ns3: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entarios" ma:internalName="Comments">
      <xsd:simpleType>
        <xsd:restriction base="dms:Note">
          <xsd:maxLength value="255"/>
        </xsd:restriction>
      </xsd:simpleType>
    </xsd:element>
    <xsd:element name="PublishingStartDate" ma:index="9"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10"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PublishingContact" ma:index="11" nillable="true" ma:displayName="Contacto" ma:description="Contacto es una columna del sitio que crea la característica Publicación. Se usa en el tipo de contenido de la página como la persona o el grupo que constituye la persona de contacto de la página."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description="Dirección de correo electrónico de contacto es una columna del sitio que crea la característica Publicación. Se usa en el tipo de contenido de la página como la dirección de correo electrónico de la persona o el grupo que constituye la persona de contacto de la página." ma:internalName="PublishingContactEmail">
      <xsd:simpleType>
        <xsd:restriction base="dms:Text">
          <xsd:maxLength value="255"/>
        </xsd:restriction>
      </xsd:simpleType>
    </xsd:element>
    <xsd:element name="PublishingContactName" ma:index="13" nillable="true" ma:displayName="Nombre del contacto" ma:description="Nombre del contacto es una columna del sitio que crea la característica Publicación. Se usa en el tipo de contenido de la página como el nombre de la persona o el grupo que constituye la persona de contacto de la página." ma:internalName="PublishingContactName">
      <xsd:simpleType>
        <xsd:restriction base="dms:Text">
          <xsd:maxLength value="255"/>
        </xsd:restriction>
      </xsd:simpleType>
    </xsd:element>
    <xsd:element name="PublishingContactPicture" ma:index="14" nillable="true" ma:displayName="Imagen del contacto" ma:description="Imagen del contacto es una columna del sitio que crea la característica Publicación. Se usa en el tipo de contenido de la página como la imagen de la persona o el grupo que constituye la persona de contacto de la página."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description="Imagen de informe es una columna del sitio que crea la característica Publicación. Se usa en el tipo de contenido de la página como la imagen de la página que se muestra en los informes de contenido, como el elemento web Contenido por búsqueda." ma:internalName="PublishingRollupImage">
      <xsd:simpleType>
        <xsd:restriction base="dms:Unknown"/>
      </xsd:simpleType>
    </xsd:element>
    <xsd:element name="Audience" ma:index="19" nillable="true" ma:displayName="Audiencias de destino" ma:description="Audiencias de destino es una columna del sitio que crea la característica Publicación. Se usa para especificar las audiencias a las que se dirigirá esta página." ma:internalName="Audience">
      <xsd:simpleType>
        <xsd:restriction base="dms:Unknown"/>
      </xsd:simpleType>
    </xsd:element>
    <xsd:element name="PublishingIsFurlPage" ma:index="20" nillable="true" ma:displayName="Ocultar direcciones URL físicas en la búsqueda" ma:description="Si se activa esta opción, la dirección URL física de esta página no se mostrará en los resultados de búsqueda. En su lugar, se mostrarán las direcciones URL descriptivas asignadas a esta página." ma:internalName="PublishingIsFurlPage">
      <xsd:simpleType>
        <xsd:restriction base="dms:Boolean"/>
      </xsd:simpleType>
    </xsd:element>
    <xsd:element name="SeoBrowserTitle" ma:index="21" nillable="true" ma:displayName="Título del explorador" ma:description="Título del explorador es una columna del sitio creada por la característica Publicación. Indica el título que aparece en la parte superior de la ventana del explorador y puede aparecer en los resultados de búsqueda de Internet." ma:hidden="true" ma:internalName="SeoBrowserTitle">
      <xsd:simpleType>
        <xsd:restriction base="dms:Text"/>
      </xsd:simpleType>
    </xsd:element>
    <xsd:element name="SeoMetaDescription" ma:index="22" nillable="true" ma:displayName="Descripción meta" ma:description="Descripción META es una columna del sitio creada por la característica Publicación. Los motores de búsqueda de Internet pueden mostrar esta descripción en las páginas de resultados de búsqueda." ma:hidden="true" ma:internalName="SeoMetaDescription">
      <xsd:simpleType>
        <xsd:restriction base="dms:Text"/>
      </xsd:simpleType>
    </xsd:element>
    <xsd:element name="SeoKeywords" ma:index="23" nillable="true" ma:displayName="Palabras clave meta" ma:description="Palabras clave meta" ma:hidden="true" ma:internalName="SeoKeywords">
      <xsd:simpleType>
        <xsd:restriction base="dms:Text"/>
      </xsd:simpleType>
    </xsd:element>
    <xsd:element name="SeoRobotsNoIndex" ma:index="24" nillable="true" ma:displayName="Ocultar en los motores de búsqueda de Internet" ma:description="Ocultar en los motores de búsqueda de Internet es una columna del sitio creada por la característica Publicación. Se usa para indicar a los rastreadores de los motores de búsqueda que una página determinada no se debe indizar."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9e261d-df55-4c20-bbd0-ba725ea6017b" elementFormDefault="qualified">
    <xsd:import namespace="http://schemas.microsoft.com/office/2006/documentManagement/types"/>
    <xsd:import namespace="http://schemas.microsoft.com/office/infopath/2007/PartnerControls"/>
    <xsd:element name="DescripcionPque_x00f1_a" ma:index="25" nillable="true" ma:displayName="DescripcionPqueña" ma:internalName="DescripcionPque_x00f1_a">
      <xsd:simpleType>
        <xsd:restriction base="dms:Note">
          <xsd:maxLength value="255"/>
        </xsd:restriction>
      </xsd:simpleType>
    </xsd:element>
    <xsd:element name="Noticia" ma:index="26" nillable="true" ma:displayName="Noticia" ma:default="0" ma:internalName="Noticia">
      <xsd:simpleType>
        <xsd:restriction base="dms:Boolean"/>
      </xsd:simpleType>
    </xsd:element>
    <xsd:element name="Resumen" ma:index="27" nillable="true" ma:displayName="Resumen" ma:internalName="Resum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839eeb-5a66-4e6e-aa47-122bf840a467" elementFormDefault="qualified">
    <xsd:import namespace="http://schemas.microsoft.com/office/2006/documentManagement/types"/>
    <xsd:import namespace="http://schemas.microsoft.com/office/infopath/2007/PartnerControls"/>
    <xsd:element name="Orden" ma:index="28" nillable="true" ma:displayName="Orden" ma:decimals="0" ma:internalName="Orden">
      <xsd:simpleType>
        <xsd:restriction base="dms:Number">
          <xsd:minInclusive value="1"/>
        </xsd:restriction>
      </xsd:simple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element name="_dlc_DocIdUrl" ma:index="3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Resumen xmlns="ab9e261d-df55-4c20-bbd0-ba725ea6017b" xsi:nil="true"/>
    <PublishingVariationGroupID xmlns="http://schemas.microsoft.com/sharepoint/v3" xsi:nil="true"/>
    <Audience xmlns="http://schemas.microsoft.com/sharepoint/v3" xsi:nil="true"/>
    <PublishingIsFurlPage xmlns="http://schemas.microsoft.com/sharepoint/v3" xsi:nil="true"/>
    <DescripcionPque_x00f1_a xmlns="ab9e261d-df55-4c20-bbd0-ba725ea6017b"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Orden xmlns="40839eeb-5a66-4e6e-aa47-122bf840a467" xsi:nil="true"/>
    <_dlc_DocIdPersistId xmlns="40839eeb-5a66-4e6e-aa47-122bf840a467" xsi:nil="true"/>
    <PublishingContact xmlns="http://schemas.microsoft.com/sharepoint/v3">
      <UserInfo>
        <DisplayName/>
        <AccountId xsi:nil="true"/>
        <AccountType/>
      </UserInfo>
    </PublishingContact>
    <PublishingContactName xmlns="http://schemas.microsoft.com/sharepoint/v3" xsi:nil="true"/>
    <Noticia xmlns="ab9e261d-df55-4c20-bbd0-ba725ea6017b">false</Noticia>
    <Comments xmlns="http://schemas.microsoft.com/sharepoint/v3" xsi:nil="true"/>
    <_dlc_DocId xmlns="40839eeb-5a66-4e6e-aa47-122bf840a467">6VQC4QCV76MK-9-7007</_dlc_DocId>
    <_dlc_DocIdUrl xmlns="40839eeb-5a66-4e6e-aa47-122bf840a467">
      <Url>https://www.defensajuridica.gov.co/_layouts/15/DocIdRedir.aspx?ID=6VQC4QCV76MK-9-7007</Url>
      <Description>6VQC4QCV76MK-9-7007</Description>
    </_dlc_DocIdUrl>
  </documentManagement>
</p:properties>
</file>

<file path=customXml/itemProps1.xml><?xml version="1.0" encoding="utf-8"?>
<ds:datastoreItem xmlns:ds="http://schemas.openxmlformats.org/officeDocument/2006/customXml" ds:itemID="{6162A151-5F84-465E-91F4-6E51F2637A75}">
  <ds:schemaRefs>
    <ds:schemaRef ds:uri="http://schemas.openxmlformats.org/officeDocument/2006/bibliography"/>
  </ds:schemaRefs>
</ds:datastoreItem>
</file>

<file path=customXml/itemProps2.xml><?xml version="1.0" encoding="utf-8"?>
<ds:datastoreItem xmlns:ds="http://schemas.openxmlformats.org/officeDocument/2006/customXml" ds:itemID="{A3AA16FA-1D67-4445-BBCA-B41A6C9AF84C}"/>
</file>

<file path=customXml/itemProps3.xml><?xml version="1.0" encoding="utf-8"?>
<ds:datastoreItem xmlns:ds="http://schemas.openxmlformats.org/officeDocument/2006/customXml" ds:itemID="{262412BB-34DC-4A20-A6F4-B79FDA0DD96F}"/>
</file>

<file path=customXml/itemProps4.xml><?xml version="1.0" encoding="utf-8"?>
<ds:datastoreItem xmlns:ds="http://schemas.openxmlformats.org/officeDocument/2006/customXml" ds:itemID="{03D7CFF0-7F0E-4055-8151-A9A02D2F32BC}"/>
</file>

<file path=customXml/itemProps5.xml><?xml version="1.0" encoding="utf-8"?>
<ds:datastoreItem xmlns:ds="http://schemas.openxmlformats.org/officeDocument/2006/customXml" ds:itemID="{4F57E220-98CC-44DF-A692-CCCD5A066B78}"/>
</file>

<file path=docProps/app.xml><?xml version="1.0" encoding="utf-8"?>
<Properties xmlns="http://schemas.openxmlformats.org/officeDocument/2006/extended-properties" xmlns:vt="http://schemas.openxmlformats.org/officeDocument/2006/docPropsVTypes">
  <Template>Normal</Template>
  <TotalTime>2</TotalTime>
  <Pages>16</Pages>
  <Words>6844</Words>
  <Characters>37642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Elena María Escobar Arbeláez</cp:lastModifiedBy>
  <cp:revision>5</cp:revision>
  <cp:lastPrinted>2023-07-25T21:36:00Z</cp:lastPrinted>
  <dcterms:created xsi:type="dcterms:W3CDTF">2025-09-18T16:42:00Z</dcterms:created>
  <dcterms:modified xsi:type="dcterms:W3CDTF">2025-09-19T16:35:00Z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0x010100C568DB52D9D0A14D9B2FDCC96666E9F2007948130EC3DB064584E219954237AF3900273AD1723114A84982869A34F4359806</vt:lpwstr>
  </property>
  <property fmtid="{D5CDD505-2E9C-101B-9397-08002B2CF9AE}" pid="3" name="_dlc_DocIdItemGuid">
    <vt:lpwstr>eed36ecf-e0ea-4359-b70e-77242a4531f1</vt:lpwstr>
  </property>
</Properties>
</file>